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035381" cy="1526274"/>
            <wp:effectExtent l="19050" t="0" r="2969" b="0"/>
            <wp:docPr id="3" name="Рисунок 1" descr="Порядок получения договора социального най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получения договора социального най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09" cy="152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5B" w:rsidRDefault="003F695B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</w:t>
      </w:r>
      <w:r w:rsidR="00C27B42">
        <w:rPr>
          <w:rFonts w:ascii="Times New Roman" w:hAnsi="Times New Roman" w:cs="Times New Roman"/>
          <w:b/>
        </w:rPr>
        <w:t>Предоставление жилого помещения муниципального жилищного фонда по договору социального найма, изменение договора социального найма жилого помещения и его расторжение</w:t>
      </w:r>
      <w:r w:rsidRPr="00402AC8">
        <w:rPr>
          <w:rFonts w:ascii="Times New Roman" w:hAnsi="Times New Roman" w:cs="Times New Roman"/>
          <w:b/>
        </w:rPr>
        <w:t>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AE1F65" w:rsidRDefault="00AE1F65" w:rsidP="00AE1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F65" w:rsidRDefault="00AE1F65" w:rsidP="00AE1F65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262A3">
        <w:rPr>
          <w:rFonts w:ascii="Times New Roman" w:hAnsi="Times New Roman" w:cs="Times New Roman"/>
          <w:sz w:val="24"/>
          <w:szCs w:val="24"/>
        </w:rPr>
        <w:t>ыписка из реестра муниципальной собственности;</w:t>
      </w:r>
    </w:p>
    <w:p w:rsidR="00AE1F65" w:rsidRDefault="00AE1F65" w:rsidP="00AE1F65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1F65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недвижимости, об основных характеристиках и зарегистрированных правах на объект недвижимости;</w:t>
      </w:r>
    </w:p>
    <w:p w:rsidR="00AE1F65" w:rsidRDefault="00AE1F65" w:rsidP="00AE1F65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F65">
        <w:rPr>
          <w:rFonts w:ascii="Times New Roman" w:hAnsi="Times New Roman" w:cs="Times New Roman"/>
          <w:sz w:val="24"/>
          <w:szCs w:val="24"/>
        </w:rPr>
        <w:t>правка, заверенная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содержащая сведения о регистрации по месту жительства заявителя и его детей;</w:t>
      </w:r>
    </w:p>
    <w:p w:rsidR="00AE1F65" w:rsidRDefault="00AE1F65" w:rsidP="00AE1F65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F65">
        <w:rPr>
          <w:rFonts w:ascii="Times New Roman" w:hAnsi="Times New Roman" w:cs="Times New Roman"/>
          <w:sz w:val="24"/>
          <w:szCs w:val="24"/>
        </w:rPr>
        <w:t>ведения о регистрации по месту жительства граждан в жилых помещениях, находящихся в пользовании заявителей и (или) членов их семей, копия поквартирной карточки на жилое помещение;</w:t>
      </w:r>
    </w:p>
    <w:p w:rsidR="00AE1F65" w:rsidRDefault="00AE1F65" w:rsidP="00AE1F65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E1F65">
        <w:rPr>
          <w:rFonts w:ascii="Times New Roman" w:hAnsi="Times New Roman" w:cs="Times New Roman"/>
          <w:sz w:val="24"/>
          <w:szCs w:val="24"/>
        </w:rPr>
        <w:t>ехнический или кадастровый паспорт жилого помещения в случае изменения площади жилого помещения либо изменения нумерации жилого помещения;</w:t>
      </w:r>
    </w:p>
    <w:p w:rsidR="007C0DFB" w:rsidRPr="00AE1F65" w:rsidRDefault="00AE1F65" w:rsidP="00AE1F65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1F65">
        <w:rPr>
          <w:rFonts w:ascii="Times New Roman" w:hAnsi="Times New Roman" w:cs="Times New Roman"/>
          <w:sz w:val="24"/>
          <w:szCs w:val="24"/>
        </w:rPr>
        <w:t>окумент, подтверждающий изменение нумерации жилого помещения.</w:t>
      </w:r>
    </w:p>
    <w:p w:rsidR="00C27B42" w:rsidRPr="00C27B42" w:rsidRDefault="00C27B42" w:rsidP="00C27B42">
      <w:pPr>
        <w:pStyle w:val="a6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B42">
        <w:rPr>
          <w:rFonts w:ascii="Times New Roman" w:hAnsi="Times New Roman" w:cs="Times New Roman"/>
          <w:bCs/>
          <w:sz w:val="24"/>
          <w:szCs w:val="24"/>
        </w:rPr>
        <w:t>С целью заключения договора социального найма жилого помещения:</w:t>
      </w:r>
    </w:p>
    <w:p w:rsidR="00C27B42" w:rsidRPr="00C27B42" w:rsidRDefault="00C27B42" w:rsidP="00C27B42">
      <w:pPr>
        <w:pStyle w:val="a6"/>
        <w:tabs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bCs/>
          <w:sz w:val="24"/>
          <w:szCs w:val="24"/>
        </w:rPr>
        <w:t>заявление о заключении договора социального найма (приложение №1 к Административному регламенту);</w:t>
      </w:r>
    </w:p>
    <w:p w:rsidR="00C27B42" w:rsidRP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C27B42">
        <w:rPr>
          <w:rFonts w:ascii="Times New Roman" w:hAnsi="Times New Roman" w:cs="Times New Roman"/>
          <w:bCs/>
          <w:sz w:val="24"/>
          <w:szCs w:val="24"/>
        </w:rPr>
        <w:t>документ, дающий право на вселение</w:t>
      </w:r>
      <w:r w:rsidRPr="00C27B42">
        <w:rPr>
          <w:rFonts w:ascii="Times New Roman" w:hAnsi="Times New Roman" w:cs="Times New Roman"/>
          <w:bCs/>
        </w:rPr>
        <w:t xml:space="preserve"> (</w:t>
      </w:r>
      <w:r w:rsidRPr="00C27B42">
        <w:rPr>
          <w:rFonts w:ascii="Times New Roman" w:hAnsi="Times New Roman" w:cs="Times New Roman"/>
          <w:sz w:val="24"/>
          <w:szCs w:val="24"/>
        </w:rPr>
        <w:t>договор, ордер или решение о предоставлении жилого помещения, иной документ);</w:t>
      </w:r>
    </w:p>
    <w:p w:rsidR="00C27B42" w:rsidRP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(нанимателя) и всех членов семьи нанимателя;</w:t>
      </w:r>
    </w:p>
    <w:p w:rsidR="00C27B42" w:rsidRP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документ, подтверждающий родственные отношения с заявителем (нанимателем);</w:t>
      </w:r>
    </w:p>
    <w:p w:rsidR="00C27B42" w:rsidRP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вступивший в законную силу судебный акт;</w:t>
      </w:r>
    </w:p>
    <w:p w:rsidR="00C27B42" w:rsidRP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согласие уполномоченного органа в сфере опеки, попечительства и патронажа;</w:t>
      </w:r>
    </w:p>
    <w:p w:rsid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согласие в письменной форме проживающих совместно с заявителем совершеннолетних членов его семьи, в том числе временно отсутствующих, в случаях, предусмотренных действующим законодательством Российской Федерации.</w:t>
      </w:r>
    </w:p>
    <w:p w:rsidR="00C27B42" w:rsidRPr="00C27B42" w:rsidRDefault="00C27B42" w:rsidP="00C27B42">
      <w:pPr>
        <w:pStyle w:val="ConsPlusNormal"/>
        <w:numPr>
          <w:ilvl w:val="0"/>
          <w:numId w:val="13"/>
        </w:numPr>
        <w:tabs>
          <w:tab w:val="left" w:pos="142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42">
        <w:rPr>
          <w:rFonts w:ascii="Times New Roman" w:hAnsi="Times New Roman" w:cs="Times New Roman"/>
          <w:sz w:val="24"/>
          <w:szCs w:val="24"/>
        </w:rPr>
        <w:t>С целью внесения изменений в действующий договор социального найма:</w:t>
      </w:r>
    </w:p>
    <w:p w:rsidR="00C27B42" w:rsidRPr="00C27B42" w:rsidRDefault="00C27B42" w:rsidP="00C27B42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hyperlink w:anchor="P401" w:history="1">
        <w:r w:rsidRPr="00C27B42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C27B42">
        <w:rPr>
          <w:rFonts w:ascii="Times New Roman" w:hAnsi="Times New Roman" w:cs="Times New Roman"/>
          <w:sz w:val="24"/>
          <w:szCs w:val="24"/>
        </w:rPr>
        <w:t xml:space="preserve"> о внесении изменений в действующий договор социального найма (приложение № 2 к Административному регламенту);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(нанимателя) и всех членов семьи нанимателя;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документ - основание для внесения изменений в договор социального найма;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вступивший в законную силу судебный акт;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согласие в письменной форме проживающих совместно с заявителем совершеннолетних членов его семьи, в том числе временно отсутствующих, в случаях, предусмотренных действующим законодательством Российской Федерации.</w:t>
      </w:r>
    </w:p>
    <w:p w:rsidR="00C27B42" w:rsidRPr="00C27B42" w:rsidRDefault="00C27B42" w:rsidP="00C27B42">
      <w:pPr>
        <w:pStyle w:val="ConsPlusNormal"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42">
        <w:rPr>
          <w:rFonts w:ascii="Times New Roman" w:hAnsi="Times New Roman" w:cs="Times New Roman"/>
          <w:sz w:val="24"/>
          <w:szCs w:val="24"/>
        </w:rPr>
        <w:t>С целью расторжения договора социального найма: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460" w:history="1">
        <w:r w:rsidRPr="00C27B42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C27B42">
        <w:rPr>
          <w:rFonts w:ascii="Times New Roman" w:hAnsi="Times New Roman" w:cs="Times New Roman"/>
          <w:sz w:val="24"/>
          <w:szCs w:val="24"/>
        </w:rPr>
        <w:t xml:space="preserve"> о расторжении договора социального найма (приложение № 3 к Административному регламенту);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(нанимателя) и всех членов семьи нанимателя;</w:t>
      </w:r>
    </w:p>
    <w:p w:rsidR="00C27B42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согласие в письменной форме проживающих совместно с заявителем совершеннолетних членов его семьи, в том числе временно отсутствующих, в случаях, предусмотренных действующим законодательством Российской Федерации;</w:t>
      </w:r>
    </w:p>
    <w:p w:rsidR="007C0DFB" w:rsidRPr="00C27B42" w:rsidRDefault="00C27B42" w:rsidP="00C27B4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B42">
        <w:rPr>
          <w:rFonts w:ascii="Times New Roman" w:hAnsi="Times New Roman" w:cs="Times New Roman"/>
          <w:sz w:val="24"/>
          <w:szCs w:val="24"/>
        </w:rPr>
        <w:t>вступивш</w:t>
      </w:r>
      <w:r>
        <w:rPr>
          <w:rFonts w:ascii="Times New Roman" w:hAnsi="Times New Roman" w:cs="Times New Roman"/>
          <w:sz w:val="24"/>
          <w:szCs w:val="24"/>
        </w:rPr>
        <w:t>ий в законную силу судебный акт.</w:t>
      </w:r>
    </w:p>
    <w:p w:rsidR="007C0DFB" w:rsidRDefault="007C0DFB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E1F65" w:rsidRPr="007C0DFB" w:rsidRDefault="00AE1F65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прав заявителя на получение муниципальной услуги в соответствии с действующим законодательством;</w:t>
      </w:r>
    </w:p>
    <w:p w:rsid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на жилое помещение оспаривается в судебном порядке (до вступления в силу соответствующего судебного решения);</w:t>
      </w:r>
    </w:p>
    <w:p w:rsid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на межведомственный запрос, свидетельствующий об отсутствии документа и (или) информации, указанной в п.19 настоящего Административного регламента, необходимой для предоставления муниципальной услуги, а также непредставление документа заявителем (представителем заявителя) по собственной инициативе.</w:t>
      </w:r>
    </w:p>
    <w:p w:rsidR="00B864B1" w:rsidRDefault="00B864B1" w:rsidP="00B864B1">
      <w:pPr>
        <w:pStyle w:val="ConsPlusNormal"/>
        <w:ind w:firstLine="539"/>
        <w:jc w:val="both"/>
        <w:rPr>
          <w:rFonts w:ascii="Liberation Serif" w:hAnsi="Liberation Serif" w:cs="Liberation Serif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по указанному основанию допускается в случае, если специалист после получения указанного ответа, уведомил заявителя о получении такого ответа и предложил предоставить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информацию, необходимые для получения муниципальной услуги, но не получил от заявителя необходимые сведения в течение 60 (шестидесяти) календарных дней со дня направления уведомления.</w:t>
      </w: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B864B1" w:rsidRDefault="00B864B1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Pr="000764B1" w:rsidRDefault="000764B1" w:rsidP="000764B1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u w:val="single"/>
        </w:rPr>
      </w:pPr>
      <w:r w:rsidRPr="000764B1">
        <w:rPr>
          <w:rFonts w:eastAsia="Times New Roman"/>
          <w:u w:val="single"/>
          <w:lang w:eastAsia="en-US"/>
        </w:rPr>
        <w:t xml:space="preserve">Срок предоставления муниципальной услуги – </w:t>
      </w:r>
      <w:r w:rsidR="00B864B1">
        <w:rPr>
          <w:rFonts w:eastAsia="Times New Roman"/>
          <w:u w:val="single"/>
          <w:lang w:eastAsia="en-US"/>
        </w:rPr>
        <w:t>тридцать календарных</w:t>
      </w:r>
      <w:r w:rsidRPr="000764B1">
        <w:rPr>
          <w:rFonts w:eastAsia="Times New Roman"/>
          <w:u w:val="single"/>
          <w:lang w:eastAsia="en-US"/>
        </w:rPr>
        <w:t xml:space="preserve"> дней </w:t>
      </w:r>
      <w:proofErr w:type="gramStart"/>
      <w:r w:rsidRPr="000764B1">
        <w:rPr>
          <w:rFonts w:eastAsia="Times New Roman"/>
          <w:u w:val="single"/>
          <w:lang w:eastAsia="en-US"/>
        </w:rPr>
        <w:t>с даты регистрации</w:t>
      </w:r>
      <w:proofErr w:type="gramEnd"/>
      <w:r w:rsidRPr="000764B1">
        <w:rPr>
          <w:rFonts w:eastAsia="Times New Roman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0764B1">
        <w:rPr>
          <w:rFonts w:eastAsia="Times New Roman"/>
          <w:u w:val="single"/>
          <w:lang w:eastAsia="en-US"/>
        </w:rPr>
        <w:t>Тугулымского</w:t>
      </w:r>
      <w:proofErr w:type="spellEnd"/>
      <w:r w:rsidRPr="000764B1">
        <w:rPr>
          <w:rFonts w:eastAsia="Times New Roman"/>
          <w:u w:val="single"/>
          <w:lang w:eastAsia="en-US"/>
        </w:rPr>
        <w:t xml:space="preserve"> городского округа.</w:t>
      </w: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A17BE" w:rsidRDefault="009A17BE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t>Результатом предоставления услуги является получение заявителем:</w:t>
      </w:r>
    </w:p>
    <w:p w:rsidR="00200023" w:rsidRDefault="00200023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B864B1" w:rsidRP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4B1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помещения;</w:t>
      </w:r>
    </w:p>
    <w:p w:rsidR="00B864B1" w:rsidRP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4B1">
        <w:rPr>
          <w:rFonts w:ascii="Times New Roman" w:hAnsi="Times New Roman" w:cs="Times New Roman"/>
          <w:sz w:val="24"/>
          <w:szCs w:val="24"/>
        </w:rPr>
        <w:t xml:space="preserve">внесение изменений в действующий договор социального найма жилого помещения путем заключения </w:t>
      </w:r>
      <w:r w:rsidRPr="00B864B1">
        <w:rPr>
          <w:rFonts w:ascii="Times New Roman" w:hAnsi="Times New Roman" w:cs="Times New Roman"/>
          <w:sz w:val="24"/>
          <w:szCs w:val="24"/>
        </w:rPr>
        <w:lastRenderedPageBreak/>
        <w:t>дополнительного соглашения к нему;</w:t>
      </w:r>
    </w:p>
    <w:p w:rsidR="00B864B1" w:rsidRP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4B1">
        <w:rPr>
          <w:rFonts w:ascii="Times New Roman" w:hAnsi="Times New Roman" w:cs="Times New Roman"/>
          <w:sz w:val="24"/>
          <w:szCs w:val="24"/>
        </w:rPr>
        <w:t>расторжение договора социального найма жилого помещения;</w:t>
      </w:r>
    </w:p>
    <w:p w:rsidR="00B864B1" w:rsidRPr="00B864B1" w:rsidRDefault="00B864B1" w:rsidP="00B8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4B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AA7E83" w:rsidRPr="00AA7E83" w:rsidRDefault="00AA7E83" w:rsidP="00AA7E83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451323" cy="662940"/>
            <wp:effectExtent l="19050" t="0" r="6127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02" cy="66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3E4900" w:rsidRDefault="003E4900" w:rsidP="003E4900">
      <w:pPr>
        <w:pStyle w:val="12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7C0DFB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0A66"/>
    <w:multiLevelType w:val="hybridMultilevel"/>
    <w:tmpl w:val="7C58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3D88"/>
    <w:multiLevelType w:val="hybridMultilevel"/>
    <w:tmpl w:val="F6966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1E7377E"/>
    <w:multiLevelType w:val="hybridMultilevel"/>
    <w:tmpl w:val="1A42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47E4459"/>
    <w:multiLevelType w:val="hybridMultilevel"/>
    <w:tmpl w:val="A91AE5FA"/>
    <w:lvl w:ilvl="0" w:tplc="66F4FD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5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F20"/>
    <w:rsid w:val="000764B1"/>
    <w:rsid w:val="000F2F20"/>
    <w:rsid w:val="00200023"/>
    <w:rsid w:val="00222556"/>
    <w:rsid w:val="00256411"/>
    <w:rsid w:val="003E4900"/>
    <w:rsid w:val="003F695B"/>
    <w:rsid w:val="00402AC8"/>
    <w:rsid w:val="005271C3"/>
    <w:rsid w:val="00615F93"/>
    <w:rsid w:val="006B0D77"/>
    <w:rsid w:val="0074025D"/>
    <w:rsid w:val="007C0DFB"/>
    <w:rsid w:val="0088727A"/>
    <w:rsid w:val="008E3F04"/>
    <w:rsid w:val="00935EBD"/>
    <w:rsid w:val="009A17BE"/>
    <w:rsid w:val="009D6B97"/>
    <w:rsid w:val="00AA7E83"/>
    <w:rsid w:val="00AE1F65"/>
    <w:rsid w:val="00B37177"/>
    <w:rsid w:val="00B864B1"/>
    <w:rsid w:val="00C27B42"/>
    <w:rsid w:val="00C72419"/>
    <w:rsid w:val="00CA0FE9"/>
    <w:rsid w:val="00D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Абзац списка2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7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27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2021-11-17T10:29:00Z</cp:lastPrinted>
  <dcterms:created xsi:type="dcterms:W3CDTF">2021-11-16T10:23:00Z</dcterms:created>
  <dcterms:modified xsi:type="dcterms:W3CDTF">2021-11-17T10:29:00Z</dcterms:modified>
</cp:coreProperties>
</file>