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32" w:rsidRPr="00B35A60" w:rsidRDefault="00C70B32" w:rsidP="00B3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5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C70B32" w:rsidRPr="00B35A60" w:rsidRDefault="00C70B32" w:rsidP="00B3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35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дминистрации Тугулымского городского округа</w:t>
      </w:r>
    </w:p>
    <w:p w:rsidR="00C70B32" w:rsidRPr="00B35A60" w:rsidRDefault="00C70B32" w:rsidP="00B3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35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Свердловской области</w:t>
      </w:r>
      <w:r w:rsidRPr="00B35A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C70B32" w:rsidRPr="00577579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70B32" w:rsidRPr="00B35A60" w:rsidRDefault="00C70B32" w:rsidP="00B35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B32" w:rsidRPr="00B35A60" w:rsidRDefault="00C70B32" w:rsidP="00B35A6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20.09.</w:t>
      </w:r>
      <w:r w:rsidRPr="00B35A60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35A60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35A60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302</w:t>
      </w:r>
    </w:p>
    <w:p w:rsidR="00C70B32" w:rsidRPr="00B35A60" w:rsidRDefault="00C70B32" w:rsidP="00B35A6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5A60">
        <w:rPr>
          <w:rFonts w:ascii="Times New Roman" w:hAnsi="Times New Roman" w:cs="Times New Roman"/>
          <w:sz w:val="28"/>
          <w:szCs w:val="28"/>
          <w:lang w:eastAsia="ru-RU"/>
        </w:rPr>
        <w:t>р.п. Тугулым</w:t>
      </w:r>
    </w:p>
    <w:p w:rsidR="00C70B32" w:rsidRPr="00C5169A" w:rsidRDefault="00C70B32" w:rsidP="0007506D">
      <w:pPr>
        <w:pStyle w:val="s3"/>
        <w:spacing w:after="0"/>
        <w:jc w:val="center"/>
        <w:rPr>
          <w:b/>
          <w:bCs/>
          <w:color w:val="26282F"/>
        </w:rPr>
      </w:pPr>
    </w:p>
    <w:p w:rsidR="00C70B32" w:rsidRPr="00C5169A" w:rsidRDefault="00C70B32" w:rsidP="00C5169A">
      <w:pPr>
        <w:pStyle w:val="s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26282F"/>
        </w:rPr>
        <w:t>«</w:t>
      </w:r>
      <w:r w:rsidRPr="00C5169A">
        <w:rPr>
          <w:b/>
          <w:bCs/>
          <w:color w:val="26282F"/>
        </w:rPr>
        <w:t xml:space="preserve">О внесении изменений в Положение об оплате и стимулировании труда работников муниципального казённого учреждения культуры «Централизованная библиотечная система Тугулымского городского округа», утверждённое </w:t>
      </w:r>
      <w:r>
        <w:rPr>
          <w:b/>
          <w:bCs/>
          <w:color w:val="26282F"/>
        </w:rPr>
        <w:t>постановлением а</w:t>
      </w:r>
      <w:r w:rsidRPr="00C5169A">
        <w:rPr>
          <w:b/>
          <w:bCs/>
          <w:color w:val="26282F"/>
        </w:rPr>
        <w:t>дминистрации Тугулымского городского округа от 25.01.2012 № 17 «Об утверждении Положения об оплате труда работников муниципального казённого учреждения культуры «Централизованная библиотечная система Тугулымского городского округа»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повышения оплаты труда работников муниципального казённого учреждения культуры «Централизованная библиотечная система Тугулымского городского округа» и во исполнение 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Указа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Президента Российской Федерации от 07 мая 2012 года N 597 "О мероприятиях по реализации государственной социальной политики",  распоряжения Правительства Российской Федерации от 26.11.2012 № 2190-р, постановления Правительства Свердловской области от 26.02.2013 № 224-ПП «Об утверждении Плана мероприятий («дорожной карты») «Изменения в отрасляхсоциальной сферы, направленные на повышение эффективности сферы культуры в Свердловской области», 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постановления 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26.09.2012 N 975 "О внесении изменений в постановление Правительства Российской Федерации от 5 августа 2008 г. N 583, постановления Правительства Свердловской области от 04.04.2013 № 439-ПП «О внесении изменений в Примерное положение об оплате труда работников государственных учреждений культуры и искусства Свердловской области, утверждённое постановлениемПравительства Свердловской области от 04.08. 2010 № 1165-ПП», постановления Правительства Свердловской области от 11.06.2013 № 758 -ПП «О внесении изменений в Примерное положение об оплате труда работников государственных учреждений культуры и искусства Свердловской области, утверждённое Постановлением Правительства Свердловской области от 04.08. 2010 № 1165-ПП», постановления Правительства Свердловской области от 03.09.2013 № 1080-ПП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,а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дминистрация Тугулымского городского округа</w:t>
      </w:r>
    </w:p>
    <w:p w:rsidR="00C70B32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B35A60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A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C70B32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Внести в Положение об оплате труда работников муниципального казённого учреждения культуры «Централизованная библиотечная система Тугулымского городского округа», утверждённое постановлением Администрации Тугулымского городского округа от 25.01.2012 № 17 «Об утверждении Положения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оплате труда работников муниципального казённого учреждения культуры «Централизованная библиотечная система Тугулымского городского округа следующие изменения: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 пункт 1.4 главы 1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«1.4. Заработная плата работника состоит из должностного оклада, выплат компенсационного и стимулирующего характера.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Заработная плата работника предельными размерами не ограничивается.»;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 пункт 1.5. главы 1 изложить 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«1.5. Штатное расписание Учреждения утверждается руководителем учреждения по согласованию с Управлением культуры администрации Тугулымского городского округа»;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3) пункт 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 xml:space="preserve">1.6. главы 1 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«1.6. Фонд оплаты труда и численность работников учреждения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подписываются руководителем учреждения, утверждаются приказами начальника Управления культуры администрации Тугулымского городского округа и согласовываются с Финансовым управлением администрации Тугулымского городского округа.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Главный распорядитель бюджетных средств устанавливает предельную долю оплаты труда работников административно-управленческого персонала в фонде оплаты труда учреждения, а также перечень должностей, относимых к административно-управленческому персоналу указанных учреждений.»;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пункт 2.1. главы 2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«2.1. Минимальные размеры должностных окладов работников учреждений культуры устанавливаются на основе отнесения занимаемых ими должностей служащих к профессиональным квалификационным группам (далее – ПКГ)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5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6728"/>
        <w:gridCol w:w="1778"/>
      </w:tblGrid>
      <w:tr w:rsidR="00C70B32" w:rsidRPr="00577579">
        <w:trPr>
          <w:trHeight w:val="5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22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Оклад</w:t>
            </w:r>
            <w:r w:rsidRPr="00C560D8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C70B32" w:rsidRPr="00577579">
        <w:trPr>
          <w:trHeight w:val="276"/>
        </w:trPr>
        <w:tc>
          <w:tcPr>
            <w:tcW w:w="9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28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«Централизованная библиотечная система</w:t>
            </w:r>
          </w:p>
          <w:p w:rsidR="00C70B32" w:rsidRPr="00C560D8" w:rsidRDefault="00C70B32" w:rsidP="00C560D8">
            <w:pPr>
              <w:spacing w:after="0" w:line="240" w:lineRule="auto"/>
              <w:ind w:left="28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Тугулымского городского округа»</w:t>
            </w:r>
          </w:p>
        </w:tc>
      </w:tr>
      <w:tr w:rsidR="00C70B32" w:rsidRPr="00577579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Заведующий филиалом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7900</w:t>
            </w:r>
          </w:p>
        </w:tc>
      </w:tr>
      <w:tr w:rsidR="00C70B32" w:rsidRPr="00577579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Заведующий отделом (сектором) библиотеки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70B32" w:rsidRPr="00577579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Главный библиотекарь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70B32" w:rsidRPr="00577579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Главный библиограф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</w:t>
            </w:r>
          </w:p>
        </w:tc>
      </w:tr>
      <w:tr w:rsidR="00C70B32" w:rsidRPr="00577579">
        <w:trPr>
          <w:trHeight w:val="28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0B32" w:rsidRPr="00577579">
        <w:trPr>
          <w:trHeight w:val="2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Библиограф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0B32" w:rsidRPr="00577579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560D8" w:rsidRDefault="00C70B32" w:rsidP="00C560D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Pr="00C56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70B32" w:rsidRPr="00C5169A" w:rsidRDefault="00C70B32" w:rsidP="00C560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5)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пункте 2.9. главы 2 слово «Руководителям» исключить;</w:t>
      </w:r>
    </w:p>
    <w:p w:rsidR="00C70B32" w:rsidRPr="00C5169A" w:rsidRDefault="00C70B32" w:rsidP="00C560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6) главу 2 дополнить пунктом 2.11. следующего содержания:</w:t>
      </w:r>
    </w:p>
    <w:p w:rsidR="00C70B32" w:rsidRPr="00C5169A" w:rsidRDefault="00C70B32" w:rsidP="00C560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«Объём средств на выплаты стимулирующего характера в составе фонда оплаты труда учреждения должен составлять не менее 20 процентов.»;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 пункт 3.1. главы 3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«3.1. Заработная плата руководителя учреждения, его заместителя и главного бухгалтера состоит из должностного оклада, выплат компенсационного и стимулирующего характера.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Размер должностного оклада руководителя учреждения определяется трудовым договором.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Должностные оклады устанавливаются руководителю учреждения в зависимости от сложности труда на основании факторов сложности труда руководителя,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учреждения, численности работающих в учреждении, других критериев.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критериев для дифференцированного установления оклада руководителя учреждения утверждается приказом Начальника управления культуры администрации Тугулымского городского округа.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Предельный уровень соотношения средней заработной платы руководителя учреждения и средней заработной платы работников учреждения устанавливается Управлением культуры администрации Тугулымского городского округа, в кратности от 1 до 8. Размер средней заработной платы работников учреждения для определения размера должностного оклада руководителя учреждения исчисляется в соответствии с приложением № 2 к настоящему Положению;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Должностные оклады заместителей руководителя и главного бухгалтера учреждения устанавливаются на 10 - 30 процентов ниже должностного оклада руководителя. Другие условия оплаты труда указанных работников устанавливаются коллективными договорами, локальными актами учреждения, трудовым договором.»;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8) пункт 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Pr="00C5169A">
        <w:rPr>
          <w:rFonts w:ascii="Times New Roman" w:hAnsi="Times New Roman" w:cs="Times New Roman"/>
          <w:color w:val="106BBE"/>
          <w:sz w:val="24"/>
          <w:szCs w:val="24"/>
          <w:lang w:eastAsia="ru-RU"/>
        </w:rPr>
        <w:t>.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главы 3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«3.3. Стимулирующие выплаты устанавливаются руководителю учреждения в зависимости от исполнения целевых показателей эффективности работы учреждения и результативности деятельности самого руководителя.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Целевые показатели эффективности работы учреждения, критерии оценки результативности деятельности его руководителя, размеры стимулирующих выплат руководителю учреждения, источники, порядок и условия их выплаты устанавливаются Управлением культуры администрации Тугулымского городского округа.»;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9) 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пункт 3.4</w:t>
      </w:r>
      <w:r w:rsidRPr="00C5169A">
        <w:rPr>
          <w:rFonts w:ascii="Times New Roman" w:hAnsi="Times New Roman" w:cs="Times New Roman"/>
          <w:color w:val="106BBE"/>
          <w:sz w:val="24"/>
          <w:szCs w:val="24"/>
          <w:lang w:eastAsia="ru-RU"/>
        </w:rPr>
        <w:t>.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главы 3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«3.4. Заместителям руководителя, главному бухгалтеру учреждения устанавливается стимулирующая надбавка за интенсивность и высокие результаты работы в размере до 300 процентов оклада с учётом выполнения целевых показателей эффективности работы, устанавливаемых руководителем учреждения.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Размер надбавки может устанавливаться как в абсолютном значении, так и в процентном отношении к окладу. Надбавка устанавливается на срок не более 1 календарного года, по истечении которого может быть сохранена или отменена.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Заместителям руководителя, главному бухгалтеру учреждения устанавливаются: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стимулирующая надбавка за выслугу лет в соответствии с пунктом 2.7. главы 2 настоящего Положения;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стимулирующая надбавка за качество выполнения работ в соответствии с пунктом 2.8 главы 2 настоящего Положения;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премиальные выплаты, предусмотренные главой 5 настоящего Положения.»;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10) абзац 2 пункта 6.1. главы 6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«6.1 Размеры окладов (должностных окладов) работников Учреждения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tbl>
      <w:tblPr>
        <w:tblW w:w="936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845"/>
        <w:gridCol w:w="1800"/>
      </w:tblGrid>
      <w:tr w:rsidR="00C70B32" w:rsidRPr="00577579">
        <w:trPr>
          <w:trHeight w:val="571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2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Оклад, рублей</w:t>
            </w:r>
          </w:p>
        </w:tc>
      </w:tr>
      <w:tr w:rsidR="00C70B32" w:rsidRPr="00577579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6200</w:t>
            </w:r>
          </w:p>
        </w:tc>
      </w:tr>
      <w:tr w:rsidR="00C70B32" w:rsidRPr="00577579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6200</w:t>
            </w:r>
          </w:p>
        </w:tc>
      </w:tr>
      <w:tr w:rsidR="00C70B32" w:rsidRPr="00577579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6200</w:t>
            </w:r>
          </w:p>
        </w:tc>
      </w:tr>
      <w:tr w:rsidR="00C70B32" w:rsidRPr="00577579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6200</w:t>
            </w:r>
          </w:p>
        </w:tc>
      </w:tr>
      <w:tr w:rsidR="00C70B32" w:rsidRPr="00577579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Главный механик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8600</w:t>
            </w:r>
          </w:p>
        </w:tc>
      </w:tr>
      <w:tr w:rsidR="00C70B32" w:rsidRPr="00577579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6200</w:t>
            </w:r>
          </w:p>
        </w:tc>
      </w:tr>
      <w:tr w:rsidR="00C70B32" w:rsidRPr="0057757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Главный  энергетик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8600</w:t>
            </w:r>
          </w:p>
        </w:tc>
      </w:tr>
      <w:tr w:rsidR="00C70B32" w:rsidRPr="0057757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100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6771F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32" w:rsidRPr="00C6771F" w:rsidRDefault="00C70B32" w:rsidP="00C6771F">
            <w:pPr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5169A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4200</w:t>
            </w:r>
          </w:p>
        </w:tc>
      </w:tr>
    </w:tbl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11) пункт 7.2 главы 7 изложить в следующей редакции: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«7.2. минимальные размеры окладов работников, осуществляющих деятельность по профессиям рабочих (далее – рабочие)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рабочих: </w:t>
      </w: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942"/>
      </w:tblGrid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5100 рублей</w:t>
            </w:r>
          </w:p>
        </w:tc>
      </w:tr>
      <w:tr w:rsidR="00C70B32" w:rsidRPr="00577579">
        <w:tc>
          <w:tcPr>
            <w:tcW w:w="6629" w:type="dxa"/>
          </w:tcPr>
          <w:p w:rsidR="00C70B32" w:rsidRPr="00577579" w:rsidRDefault="00C70B32" w:rsidP="0057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942" w:type="dxa"/>
          </w:tcPr>
          <w:p w:rsidR="00C70B32" w:rsidRPr="00577579" w:rsidRDefault="00C70B32" w:rsidP="00577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5600 рублей</w:t>
            </w:r>
          </w:p>
        </w:tc>
      </w:tr>
    </w:tbl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12) пункт 8.3. главы 8 исключить;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13) пункты 1 и 2 приложения № 1 исключить;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14) приложение № 2 изложить в новой редакции (прилагается).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3.Настоящее постановление опубликовать в специальном выпуске муниципальной общественно-политической газеты «Знамя труда» - «Муниципальный вестник».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4.Контроль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исполнения</w:t>
      </w:r>
      <w:r w:rsidRPr="00C5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постановления возложить на начальника управления культуры администрации Тугулымского городского округа  Тегенцева.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Н.В.</w:t>
      </w: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B35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B35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35A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Глава Тугулымского городского округа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B35A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С.А. Селиванов</w:t>
      </w:r>
    </w:p>
    <w:p w:rsidR="00C70B32" w:rsidRDefault="00C70B32" w:rsidP="00B35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C9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B32" w:rsidRPr="00C5169A" w:rsidRDefault="00C70B32" w:rsidP="008E28E5">
      <w:pPr>
        <w:spacing w:after="0" w:line="240" w:lineRule="auto"/>
        <w:ind w:left="45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pacing w:val="-20"/>
          <w:sz w:val="24"/>
          <w:szCs w:val="24"/>
          <w:lang w:eastAsia="ru-RU"/>
        </w:rPr>
        <w:t>Приложение 2</w:t>
      </w:r>
    </w:p>
    <w:p w:rsidR="00C70B32" w:rsidRPr="00C5169A" w:rsidRDefault="00C70B32" w:rsidP="008E28E5">
      <w:pPr>
        <w:spacing w:after="240" w:line="240" w:lineRule="auto"/>
        <w:ind w:left="4540"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pacing w:val="-20"/>
          <w:sz w:val="24"/>
          <w:szCs w:val="24"/>
          <w:lang w:eastAsia="ru-RU"/>
        </w:rPr>
        <w:t>к Положению об  оплате и стимулировании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 xml:space="preserve"> труда </w:t>
      </w:r>
      <w:r w:rsidRPr="00C5169A">
        <w:rPr>
          <w:rFonts w:ascii="Times New Roman" w:hAnsi="Times New Roman" w:cs="Times New Roman"/>
          <w:spacing w:val="-20"/>
          <w:sz w:val="24"/>
          <w:szCs w:val="24"/>
          <w:lang w:eastAsia="ru-RU"/>
        </w:rPr>
        <w:t>работников муниципального казённого учреждения культуры  «Централизованная библиотечная система Тугулымского городского округа»</w:t>
      </w:r>
    </w:p>
    <w:p w:rsidR="00C70B32" w:rsidRPr="00C5169A" w:rsidRDefault="00C70B32" w:rsidP="008E28E5">
      <w:pPr>
        <w:spacing w:before="240" w:after="0" w:line="240" w:lineRule="auto"/>
        <w:ind w:left="44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spacing w:before="240" w:after="0" w:line="240" w:lineRule="auto"/>
        <w:ind w:left="44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C70B32" w:rsidRPr="00C5169A" w:rsidRDefault="00C70B32" w:rsidP="008E2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исчисления размера средней заработной платы работников</w:t>
      </w:r>
    </w:p>
    <w:p w:rsidR="00C70B32" w:rsidRPr="00C5169A" w:rsidRDefault="00C70B32" w:rsidP="008E2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казённого учреждения культуры «Централизованная библиотечная система Тугулымского городского округа»</w:t>
      </w:r>
    </w:p>
    <w:p w:rsidR="00C70B32" w:rsidRPr="00C5169A" w:rsidRDefault="00C70B32" w:rsidP="008E2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70B32" w:rsidRPr="00C5169A" w:rsidRDefault="00C70B32" w:rsidP="008E2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Настоящий порядок устанавливает правила исчисления средней заработной платы работников муниципального казённого учреждения культуры «Централизованная библиотечная система Тугулымского городского округа» (далее – учреждение) для определения размера должностного оклада руководителя.</w:t>
      </w: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При расчёте средней заработной платы учитываются оклады (должностные оклады), ставки заработной платы и выплаты стимулирующего и компенсационного характера работников учреждения на одно физическое лицо за счёт всех источников финансирования.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 xml:space="preserve">      Расчёт средней заработной платы работников учреждения осуществляется за календарный год, предшествующий году установления должностного оклада руководителя учреждения.</w:t>
      </w: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Средняя заработная плата работников учреждения определяется путём деления суммы начисленной заработной платы за отработанное время в расчётном периоде на сумму  среднемесячной численности учреждения за все месяцы расчётного периода, предшествующего периоду установления должностного оклада руководителя учреждения.</w:t>
      </w: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При определении среднемесячной численности работников учреждения учитывается среднемесячная численность работников учреждения, работающих на условиях полного рабочего времени, среднемесячная численность работников учреждения,  работающих на условиях неполного рабочего времени, и среднемесячная численность работников учреждения, являющихся внешними совместителями.</w:t>
      </w: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Среднемесячная численность работников учреждения, работающих на условиях полного рабочего времени, исчисляется путём суммирования численности работников учреждения,  работающих на условиях полного рабочего времени, за каждый календарный день месяца, то есть с 01 по 30 или 31 число (для февраля – по 28 или 29 число),  включая выходные и нерабочие праздничные дни, и деления полученной суммы на число календарных дней месяца.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Численность работников учреждения, работающих на условиях полного рабочего времени, за выходные или нерабочие праздничные дни принимается равной численности работников учреждения, работающих на условиях полного рабочего времени, 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>рабочий день, предшествовавший выходным или нерабочим праздничным дням.</w:t>
      </w:r>
    </w:p>
    <w:p w:rsidR="00C70B32" w:rsidRPr="00C5169A" w:rsidRDefault="00C70B32" w:rsidP="008E28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В численности работников учреждения, работающих на условиях полного рабочего времени, за каждый календарный день месяца учитываются работники учреждения, фактически работающие на основании табеля учёта рабочего времени работников.</w:t>
      </w:r>
    </w:p>
    <w:p w:rsidR="00C70B32" w:rsidRPr="00C5169A" w:rsidRDefault="00C70B32" w:rsidP="008E28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Работник, работающий в учреждении на одной ставке, более одной ставки (оформленный в учреждении как внутренний совместитель), учитывается в списочной численности работников учреждения как один человек (целая единица).</w:t>
      </w:r>
    </w:p>
    <w:p w:rsidR="00C70B32" w:rsidRPr="00C5169A" w:rsidRDefault="00C70B32" w:rsidP="008E2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Работники учреждения, работавшие на условиях неполного рабочего времени в соответствии с трудовым договором или переведённые на работу на условиях неполного рабочего времени, при определении среднемесячной численности работников учреждения учитываются пропорционально отработанному времени.</w:t>
      </w:r>
    </w:p>
    <w:p w:rsidR="00C70B32" w:rsidRPr="00C5169A" w:rsidRDefault="00C70B32" w:rsidP="008E28E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Расчёт средней численности этой категории работников производится в следующем порядке:</w:t>
      </w:r>
    </w:p>
    <w:p w:rsidR="00C70B32" w:rsidRPr="00C5169A" w:rsidRDefault="00C70B32" w:rsidP="008E28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исчисляется общее количество человеко-дней, отработанных этими работниками, путём деления общего числа отработанных человеко-часов в отчётном месяце на продолжительность рабочего дня исходя из продолжительности рабочей недели, например: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40 часов – на 8 часов (при пятидневной рабочей неделе) или на 6,67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39 часов – на 7,8 часа (при пятидневной рабочей неделе) или на 6,5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38,5 часа – на 7,7 часа (при пятидневной рабочей неделе) или на 6,42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36 часов – на 7,2 часа (при пятидневной рабочей неделе) или на 6 часов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33 часа – на 6,6 часа (при пятидневной рабочей неделе) или на 5,5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30 часов – на 6 часов (при пятидневной рабочей неделе) или на 5 часов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25 часов – на 5 часов (при пятидневной</w:t>
      </w:r>
      <w:r w:rsidRPr="00C5169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рабочей неделе) или на 4,17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24 часа – на 4,8 часа (при пятидневной рабочей неделе) или на 4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18 часов – на 3,6 часа (при пятидневной рабочей неделе) или на 3 часа (при шестидневной рабочей неделе);</w:t>
      </w:r>
    </w:p>
    <w:p w:rsidR="00C70B32" w:rsidRPr="00C5169A" w:rsidRDefault="00C70B32" w:rsidP="008E28E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2) затем определяется средняя численность не полностью занятых работников за отчётный месяц в пересчёте на полную занятость путём деления отработанных человеко-дней на число рабочих дней в месяце по календарю в отчётном месяце.</w:t>
      </w:r>
    </w:p>
    <w:p w:rsidR="00C70B32" w:rsidRPr="00C5169A" w:rsidRDefault="00C70B32" w:rsidP="008E28E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169A">
        <w:rPr>
          <w:rFonts w:ascii="Times New Roman" w:hAnsi="Times New Roman" w:cs="Times New Roman"/>
          <w:sz w:val="24"/>
          <w:szCs w:val="24"/>
          <w:lang w:eastAsia="ru-RU"/>
        </w:rPr>
        <w:t>7. Среднемесячная численность работников учреждения, являющихся внешними совместителями, исчисляется в соответствии с пунктом 6 настоящего порядка.</w:t>
      </w:r>
    </w:p>
    <w:p w:rsidR="00C70B32" w:rsidRPr="00C5169A" w:rsidRDefault="00C70B32" w:rsidP="008E28E5">
      <w:pPr>
        <w:spacing w:before="240" w:after="0" w:line="240" w:lineRule="auto"/>
        <w:ind w:left="44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32" w:rsidRPr="00C5169A" w:rsidRDefault="00C70B32" w:rsidP="008E28E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B32" w:rsidRPr="00C5169A" w:rsidRDefault="00C70B32" w:rsidP="008E28E5">
      <w:pPr>
        <w:rPr>
          <w:rFonts w:ascii="Times New Roman" w:hAnsi="Times New Roman" w:cs="Times New Roman"/>
          <w:sz w:val="24"/>
          <w:szCs w:val="24"/>
        </w:rPr>
      </w:pPr>
    </w:p>
    <w:p w:rsidR="00C70B32" w:rsidRPr="00C5169A" w:rsidRDefault="00C70B32" w:rsidP="00F611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C70B32" w:rsidRPr="00C5169A" w:rsidSect="0063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2D0"/>
    <w:multiLevelType w:val="hybridMultilevel"/>
    <w:tmpl w:val="A5DA1B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67EE6"/>
    <w:multiLevelType w:val="hybridMultilevel"/>
    <w:tmpl w:val="B45EE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100"/>
    <w:rsid w:val="000330D5"/>
    <w:rsid w:val="0007506D"/>
    <w:rsid w:val="000B154D"/>
    <w:rsid w:val="000D3472"/>
    <w:rsid w:val="00165DF7"/>
    <w:rsid w:val="002716BC"/>
    <w:rsid w:val="00286B40"/>
    <w:rsid w:val="002F1F96"/>
    <w:rsid w:val="00311AB0"/>
    <w:rsid w:val="00314BC5"/>
    <w:rsid w:val="0043655F"/>
    <w:rsid w:val="00474124"/>
    <w:rsid w:val="0057134F"/>
    <w:rsid w:val="00571F8B"/>
    <w:rsid w:val="005732D6"/>
    <w:rsid w:val="00577579"/>
    <w:rsid w:val="005B2DAE"/>
    <w:rsid w:val="006212E6"/>
    <w:rsid w:val="0063471F"/>
    <w:rsid w:val="00697D6D"/>
    <w:rsid w:val="006C7184"/>
    <w:rsid w:val="00700277"/>
    <w:rsid w:val="0071010E"/>
    <w:rsid w:val="00773ABD"/>
    <w:rsid w:val="007D7102"/>
    <w:rsid w:val="008472E1"/>
    <w:rsid w:val="00867AEE"/>
    <w:rsid w:val="00876579"/>
    <w:rsid w:val="00895E3D"/>
    <w:rsid w:val="008B07C8"/>
    <w:rsid w:val="008E28E5"/>
    <w:rsid w:val="009C198D"/>
    <w:rsid w:val="009D65EB"/>
    <w:rsid w:val="00A26B1A"/>
    <w:rsid w:val="00A914F7"/>
    <w:rsid w:val="00B35A60"/>
    <w:rsid w:val="00BA65A0"/>
    <w:rsid w:val="00C5169A"/>
    <w:rsid w:val="00C560D8"/>
    <w:rsid w:val="00C6771F"/>
    <w:rsid w:val="00C70B32"/>
    <w:rsid w:val="00C95F8D"/>
    <w:rsid w:val="00D904A0"/>
    <w:rsid w:val="00DE5256"/>
    <w:rsid w:val="00E3481C"/>
    <w:rsid w:val="00E47171"/>
    <w:rsid w:val="00E77548"/>
    <w:rsid w:val="00EF2117"/>
    <w:rsid w:val="00EF24B2"/>
    <w:rsid w:val="00F2251E"/>
    <w:rsid w:val="00F2520D"/>
    <w:rsid w:val="00F61100"/>
    <w:rsid w:val="00FA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uiPriority w:val="99"/>
    <w:rsid w:val="00F6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F6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97D6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6</Pages>
  <Words>2232</Words>
  <Characters>12728</Characters>
  <Application>Microsoft Office Outlook</Application>
  <DocSecurity>0</DocSecurity>
  <Lines>0</Lines>
  <Paragraphs>0</Paragraphs>
  <ScaleCrop>false</ScaleCrop>
  <Company>ТугЦБС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Бороздина </dc:creator>
  <cp:keywords/>
  <dc:description/>
  <cp:lastModifiedBy>1-PC</cp:lastModifiedBy>
  <cp:revision>4</cp:revision>
  <cp:lastPrinted>2006-12-31T19:42:00Z</cp:lastPrinted>
  <dcterms:created xsi:type="dcterms:W3CDTF">2006-12-31T19:27:00Z</dcterms:created>
  <dcterms:modified xsi:type="dcterms:W3CDTF">2006-12-31T19:42:00Z</dcterms:modified>
</cp:coreProperties>
</file>