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0" w:line="240" w:lineRule="auto"/>
        <w:rPr>
          <w:rFonts w:ascii="Segoe UI" w:hAnsi="Segoe UI" w:cs="Segoe UI" w:eastAsiaTheme="minorEastAsia"/>
          <w:sz w:val="28"/>
          <w:szCs w:val="28"/>
          <w:lang w:eastAsia="sk-SK"/>
        </w:rPr>
      </w:pPr>
      <w:r>
        <w:rPr>
          <w:rFonts w:cs="Times New Roman" w:eastAsiaTheme="minorEastAsia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-304800</wp:posOffset>
                </wp:positionV>
                <wp:extent cx="2692400" cy="981075"/>
                <wp:effectExtent l="0" t="0" r="0" b="0"/>
                <wp:wrapNone/>
                <wp:docPr id="1" name="Рисунок 1" descr="C:\Users\ЗилаловаГП\Downloads\imgonline-com-ua-Resize-AxUH5qc9MGoX5H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C:\Users\ЗилаловаГП\Downloads\imgonline-com-ua-Resize-AxUH5qc9MGoX5HD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69240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9264;o:allowoverlap:true;o:allowincell:true;mso-position-horizontal-relative:text;margin-left:-3.00pt;mso-position-horizontal:absolute;mso-position-vertical-relative:text;margin-top:-24.00pt;mso-position-vertical:absolute;width:212.00pt;height:77.25pt;mso-wrap-distance-left:9.00pt;mso-wrap-distance-top:0.00pt;mso-wrap-distance-right:9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</w:p>
    <w:p>
      <w:pPr>
        <w:ind w:firstLine="708"/>
        <w:jc w:val="right"/>
        <w:spacing w:after="0" w:line="240" w:lineRule="auto"/>
        <w:rPr>
          <w:rFonts w:ascii="Segoe UI" w:hAnsi="Segoe UI" w:cs="Segoe UI" w:eastAsiaTheme="minorEastAsia"/>
          <w:sz w:val="28"/>
          <w:szCs w:val="28"/>
          <w:lang w:eastAsia="sk-SK"/>
        </w:rPr>
      </w:pPr>
      <w:r>
        <w:rPr>
          <w:rFonts w:ascii="Segoe UI" w:hAnsi="Segoe UI" w:cs="Segoe UI" w:eastAsiaTheme="minorEastAsia"/>
          <w:sz w:val="28"/>
          <w:szCs w:val="28"/>
          <w:lang w:eastAsia="sk-SK"/>
        </w:rPr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</w:p>
    <w:p>
      <w:pPr>
        <w:ind w:firstLine="708"/>
        <w:jc w:val="right"/>
        <w:spacing w:after="0" w:line="240" w:lineRule="auto"/>
        <w:rPr>
          <w:rFonts w:ascii="Segoe UI" w:hAnsi="Segoe UI" w:cs="Segoe UI" w:eastAsiaTheme="minorEastAsia"/>
          <w:b/>
          <w:sz w:val="28"/>
          <w:szCs w:val="28"/>
          <w:lang w:eastAsia="sk-SK"/>
        </w:rPr>
      </w:pPr>
      <w:r>
        <w:rPr>
          <w:rFonts w:ascii="Segoe UI" w:hAnsi="Segoe UI" w:cs="Segoe UI" w:eastAsiaTheme="minorEastAsia"/>
          <w:b/>
          <w:sz w:val="28"/>
          <w:szCs w:val="28"/>
          <w:lang w:eastAsia="sk-SK"/>
        </w:rPr>
        <w:t xml:space="preserve">ПРЕСС-РЕЛИЗ</w:t>
      </w:r>
      <w:r>
        <w:rPr>
          <w:rFonts w:ascii="Segoe UI" w:hAnsi="Segoe UI" w:cs="Segoe UI" w:eastAsiaTheme="minorEastAsia"/>
          <w:b/>
          <w:sz w:val="28"/>
          <w:szCs w:val="28"/>
          <w:lang w:eastAsia="sk-SK"/>
        </w:rPr>
      </w:r>
    </w:p>
    <w:p>
      <w:pPr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</w:r>
      <w:r>
        <w:rPr>
          <w:rFonts w:ascii="Segoe UI" w:hAnsi="Segoe UI" w:cs="Segoe UI"/>
          <w:b/>
          <w:sz w:val="24"/>
          <w:szCs w:val="24"/>
        </w:rPr>
      </w:r>
    </w:p>
    <w:p>
      <w:pPr>
        <w:ind w:firstLine="709"/>
        <w:jc w:val="center"/>
        <w:rPr>
          <w:rFonts w:ascii="Segoe UI" w:hAnsi="Segoe UI" w:cs="Segoe UI"/>
          <w:b/>
          <w:bCs/>
          <w:sz w:val="24"/>
        </w:rPr>
      </w:pPr>
      <w:r>
        <w:rPr>
          <w:rFonts w:ascii="Segoe UI" w:hAnsi="Segoe UI" w:cs="Segoe UI"/>
          <w:b/>
          <w:bCs/>
          <w:sz w:val="24"/>
        </w:rPr>
        <w:t xml:space="preserve">Около 5</w:t>
      </w:r>
      <w:r>
        <w:rPr>
          <w:rFonts w:ascii="Segoe UI" w:hAnsi="Segoe UI" w:cs="Segoe UI"/>
          <w:b/>
          <w:bCs/>
          <w:sz w:val="24"/>
        </w:rPr>
        <w:t xml:space="preserve">0</w:t>
      </w:r>
      <w:r>
        <w:rPr>
          <w:rFonts w:ascii="Segoe UI" w:hAnsi="Segoe UI" w:cs="Segoe UI"/>
          <w:b/>
          <w:bCs/>
          <w:sz w:val="24"/>
        </w:rPr>
        <w:t xml:space="preserve"> тысяч свердловчан оформили запрет на проведение сделок с недвижимостью без личного участия</w:t>
      </w:r>
      <w:r>
        <w:rPr>
          <w:rFonts w:ascii="Segoe UI" w:hAnsi="Segoe UI" w:cs="Segoe UI"/>
          <w:b/>
          <w:bCs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Для защиты от мошенников Управление рекомендует подать заявление о запрете регистрации сделок без личного участия. Сделать это можно двумя способами: </w:t>
      </w:r>
      <w:r>
        <w:rPr>
          <w:rFonts w:ascii="Segoe UI" w:hAnsi="Segoe UI" w:cs="Segoe UI"/>
          <w:sz w:val="24"/>
        </w:rPr>
      </w:r>
    </w:p>
    <w:p>
      <w:pPr>
        <w:pStyle w:val="638"/>
        <w:numPr>
          <w:ilvl w:val="0"/>
          <w:numId w:val="7"/>
        </w:numPr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Посредством Портала Госуслуг; </w:t>
      </w:r>
      <w:r>
        <w:rPr>
          <w:rFonts w:ascii="Segoe UI" w:hAnsi="Segoe UI" w:cs="Segoe UI"/>
          <w:sz w:val="24"/>
        </w:rPr>
      </w:r>
    </w:p>
    <w:p>
      <w:pPr>
        <w:pStyle w:val="638"/>
        <w:numPr>
          <w:ilvl w:val="0"/>
          <w:numId w:val="7"/>
        </w:numPr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В офисах Многофункционального центра.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После того, как заявление будет подано, в Единый государственный реестр недвижимости будет внесена соответствующая запись. 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Если в Росреестр будут поданы документы без личного участия собственника объекта недвижимости, рассматриваться они не будут, и их вернут обратно заявител</w:t>
      </w:r>
      <w:r>
        <w:rPr>
          <w:rFonts w:ascii="Segoe UI" w:hAnsi="Segoe UI" w:cs="Segoe UI"/>
          <w:sz w:val="24"/>
        </w:rPr>
        <w:t xml:space="preserve">ю.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i/>
          <w:iCs/>
          <w:sz w:val="24"/>
        </w:rPr>
        <w:t xml:space="preserve">«</w:t>
      </w:r>
      <w:r>
        <w:rPr>
          <w:rFonts w:ascii="Segoe UI" w:hAnsi="Segoe UI" w:cs="Segoe UI"/>
          <w:i/>
          <w:iCs/>
          <w:sz w:val="24"/>
        </w:rPr>
        <w:t xml:space="preserve">В III квартале 2026 года в Управление поступило 49</w:t>
      </w:r>
      <w:r>
        <w:rPr>
          <w:rFonts w:ascii="Segoe UI" w:hAnsi="Segoe UI" w:cs="Segoe UI"/>
          <w:i/>
          <w:iCs/>
          <w:sz w:val="24"/>
        </w:rPr>
        <w:t xml:space="preserve"> </w:t>
      </w:r>
      <w:r>
        <w:rPr>
          <w:rFonts w:ascii="Segoe UI" w:hAnsi="Segoe UI" w:cs="Segoe UI"/>
          <w:i/>
          <w:iCs/>
          <w:sz w:val="24"/>
        </w:rPr>
        <w:t xml:space="preserve">550 заявлений о невозможности государственной регистрации без личного участия собственника. Данный показатель в III квартале 2026 года увеличился в 4 раза по сравнению с аналогичным периодом прошлого года (12</w:t>
      </w:r>
      <w:r>
        <w:rPr>
          <w:rFonts w:ascii="Segoe UI" w:hAnsi="Segoe UI" w:cs="Segoe UI"/>
          <w:i/>
          <w:iCs/>
          <w:sz w:val="24"/>
        </w:rPr>
        <w:t xml:space="preserve"> </w:t>
      </w:r>
      <w:r>
        <w:rPr>
          <w:rFonts w:ascii="Segoe UI" w:hAnsi="Segoe UI" w:cs="Segoe UI"/>
          <w:i/>
          <w:iCs/>
          <w:sz w:val="24"/>
        </w:rPr>
        <w:t xml:space="preserve">307</w:t>
      </w:r>
      <w:r>
        <w:rPr>
          <w:rFonts w:ascii="Segoe UI" w:hAnsi="Segoe UI" w:cs="Segoe UI"/>
          <w:i/>
          <w:iCs/>
          <w:sz w:val="24"/>
        </w:rPr>
        <w:t xml:space="preserve">)</w:t>
      </w:r>
      <w:r>
        <w:rPr>
          <w:rFonts w:ascii="Segoe UI" w:hAnsi="Segoe UI" w:cs="Segoe UI"/>
          <w:i/>
          <w:iCs/>
          <w:sz w:val="24"/>
        </w:rPr>
        <w:t xml:space="preserve">»,</w:t>
      </w:r>
      <w:r>
        <w:rPr>
          <w:rFonts w:ascii="Segoe UI" w:hAnsi="Segoe UI" w:cs="Segoe UI"/>
          <w:sz w:val="24"/>
        </w:rPr>
        <w:t xml:space="preserve"> - подчеркивает руководитель Управления </w:t>
      </w:r>
      <w:r>
        <w:rPr>
          <w:rFonts w:ascii="Segoe UI" w:hAnsi="Segoe UI" w:cs="Segoe UI"/>
          <w:b/>
          <w:bCs/>
          <w:sz w:val="24"/>
        </w:rPr>
        <w:t xml:space="preserve">Игорь Цыганаш</w:t>
      </w:r>
      <w:r>
        <w:rPr>
          <w:rFonts w:ascii="Segoe UI" w:hAnsi="Segoe UI" w:cs="Segoe UI"/>
          <w:sz w:val="24"/>
        </w:rPr>
        <w:t xml:space="preserve">. 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За 9 месяцев 2026 года поступило 154 321 заявление, а увеличение составило 4,2 раза в сравнении с аналогичным периодом 2025 года (36 954).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Кроме того, Управление рекомендует вносить в ЕГРН сведения об адресе вашей электронной почты, либо </w:t>
      </w:r>
      <w:r>
        <w:rPr>
          <w:rFonts w:ascii="Segoe UI" w:hAnsi="Segoe UI" w:cs="Segoe UI"/>
          <w:sz w:val="24"/>
        </w:rPr>
        <w:t xml:space="preserve">актуализировать его, если почта поменялась. Это можно сделать в личном кабинете на сайте Росреестра, на портале Госуслуг или в МФЦ. На электронную почту будут поступать все уведомления о совершающихся сделках и изменениях в отношении объектов недвижимости.</w:t>
      </w:r>
      <w:r>
        <w:rPr>
          <w:rFonts w:ascii="Segoe UI" w:hAnsi="Segoe UI" w:cs="Segoe UI"/>
          <w:sz w:val="24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sz w:val="24"/>
          <w:szCs w:val="24"/>
          <w:lang w:eastAsia="ru-RU"/>
        </w:rPr>
      </w:pPr>
      <w:r>
        <w:rPr>
          <w:rFonts w:cs="Times New Roman" w:eastAsiaTheme="minorEastAsia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4294967289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67945</wp:posOffset>
                </wp:positionV>
                <wp:extent cx="6000750" cy="0"/>
                <wp:effectExtent l="0" t="0" r="19050" b="19050"/>
                <wp:wrapNone/>
                <wp:docPr id="2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61312;o:allowoverlap:true;o:allowincell:true;mso-position-horizontal-relative:margin;mso-position-horizontal:right;mso-position-vertical-relative:text;margin-top:5.3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cs="Segoe UI" w:eastAsiaTheme="minorEastAsia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pPr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/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2"/>
    <w:next w:val="63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3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2"/>
    <w:next w:val="63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3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2"/>
    <w:next w:val="63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3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2"/>
    <w:next w:val="63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3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2"/>
    <w:next w:val="63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3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2"/>
    <w:next w:val="63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3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2"/>
    <w:next w:val="63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2"/>
    <w:next w:val="63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2"/>
    <w:next w:val="63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32"/>
    <w:next w:val="63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33"/>
    <w:link w:val="35"/>
    <w:uiPriority w:val="10"/>
    <w:rPr>
      <w:sz w:val="48"/>
      <w:szCs w:val="48"/>
    </w:rPr>
  </w:style>
  <w:style w:type="paragraph" w:styleId="37">
    <w:name w:val="Subtitle"/>
    <w:basedOn w:val="632"/>
    <w:next w:val="63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33"/>
    <w:link w:val="37"/>
    <w:uiPriority w:val="11"/>
    <w:rPr>
      <w:sz w:val="24"/>
      <w:szCs w:val="24"/>
    </w:rPr>
  </w:style>
  <w:style w:type="paragraph" w:styleId="39">
    <w:name w:val="Quote"/>
    <w:basedOn w:val="632"/>
    <w:next w:val="63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2"/>
    <w:next w:val="63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3"/>
    <w:link w:val="43"/>
    <w:uiPriority w:val="99"/>
  </w:style>
  <w:style w:type="paragraph" w:styleId="45">
    <w:name w:val="Footer"/>
    <w:basedOn w:val="63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3"/>
    <w:link w:val="45"/>
    <w:uiPriority w:val="99"/>
  </w:style>
  <w:style w:type="paragraph" w:styleId="47">
    <w:name w:val="Caption"/>
    <w:basedOn w:val="632"/>
    <w:next w:val="63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3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3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3"/>
    <w:uiPriority w:val="99"/>
    <w:unhideWhenUsed/>
    <w:rPr>
      <w:vertAlign w:val="superscript"/>
    </w:rPr>
  </w:style>
  <w:style w:type="paragraph" w:styleId="179">
    <w:name w:val="endnote text"/>
    <w:basedOn w:val="63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3"/>
    <w:uiPriority w:val="99"/>
    <w:semiHidden/>
    <w:unhideWhenUsed/>
    <w:rPr>
      <w:vertAlign w:val="superscript"/>
    </w:rPr>
  </w:style>
  <w:style w:type="paragraph" w:styleId="182">
    <w:name w:val="toc 1"/>
    <w:basedOn w:val="632"/>
    <w:next w:val="63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2"/>
    <w:next w:val="63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2"/>
    <w:next w:val="63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2"/>
    <w:next w:val="63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2"/>
    <w:next w:val="63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2"/>
    <w:next w:val="63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2"/>
    <w:next w:val="63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2"/>
    <w:next w:val="63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2"/>
    <w:next w:val="63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2"/>
    <w:next w:val="632"/>
    <w:uiPriority w:val="99"/>
    <w:unhideWhenUsed/>
    <w:pPr>
      <w:spacing w:after="0" w:afterAutospacing="0"/>
    </w:pPr>
  </w:style>
  <w:style w:type="paragraph" w:styleId="632" w:default="1">
    <w:name w:val="Normal"/>
    <w:qFormat/>
  </w:style>
  <w:style w:type="character" w:styleId="633" w:default="1">
    <w:name w:val="Default Paragraph Font"/>
    <w:uiPriority w:val="1"/>
    <w:semiHidden/>
    <w:unhideWhenUsed/>
  </w:style>
  <w:style w:type="table" w:styleId="6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5" w:default="1">
    <w:name w:val="No List"/>
    <w:uiPriority w:val="99"/>
    <w:semiHidden/>
    <w:unhideWhenUsed/>
  </w:style>
  <w:style w:type="character" w:styleId="636">
    <w:name w:val="Hyperlink"/>
    <w:basedOn w:val="633"/>
    <w:uiPriority w:val="99"/>
    <w:unhideWhenUsed/>
    <w:rPr>
      <w:color w:val="0563c1" w:themeColor="hyperlink"/>
      <w:u w:val="single"/>
    </w:rPr>
  </w:style>
  <w:style w:type="character" w:styleId="637">
    <w:name w:val="Unresolved Mention"/>
    <w:basedOn w:val="633"/>
    <w:uiPriority w:val="99"/>
    <w:semiHidden/>
    <w:unhideWhenUsed/>
    <w:rPr>
      <w:color w:val="605e5c"/>
      <w:shd w:val="clear" w:color="auto" w:fill="e1dfdd"/>
    </w:rPr>
  </w:style>
  <w:style w:type="paragraph" w:styleId="638">
    <w:name w:val="List Paragraph"/>
    <w:basedOn w:val="632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Р7-Офис/2026.3.1.3617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Бейзлер Вероника Дмитриевна</dc:creator>
  <cp:keywords/>
  <dc:description/>
  <cp:lastModifiedBy>черныхин@uralegrp.local</cp:lastModifiedBy>
  <cp:revision>51</cp:revision>
  <dcterms:created xsi:type="dcterms:W3CDTF">2026-07-01T08:57:00Z</dcterms:created>
  <dcterms:modified xsi:type="dcterms:W3CDTF">2026-10-23T06:14:48Z</dcterms:modified>
</cp:coreProperties>
</file>