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z-index:1;" stroked="f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b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b/>
          <w:sz w:val="28"/>
          <w:szCs w:val="28"/>
          <w:lang w:eastAsia="sk-SK"/>
        </w:rPr>
        <w:t xml:space="preserve">ПРЕСС-РЕЛИЗ</w:t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</w:p>
    <w:p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</w:r>
      <w:r>
        <w:rPr>
          <w:rFonts w:ascii="Segoe UI" w:hAnsi="Segoe UI" w:cs="Segoe UI"/>
          <w:b/>
          <w:sz w:val="24"/>
          <w:szCs w:val="24"/>
        </w:rPr>
      </w:r>
    </w:p>
    <w:p>
      <w:pPr>
        <w:ind w:firstLine="709"/>
        <w:jc w:val="center"/>
        <w:rPr>
          <w:rFonts w:ascii="Segoe UI" w:hAnsi="Segoe UI" w:cs="Segoe UI"/>
          <w:b/>
          <w:bCs/>
          <w:sz w:val="24"/>
        </w:rPr>
      </w:pPr>
      <w:r>
        <w:rPr>
          <w:rFonts w:ascii="Segoe UI" w:hAnsi="Segoe UI" w:cs="Segoe UI"/>
          <w:b/>
          <w:bCs/>
          <w:sz w:val="24"/>
        </w:rPr>
        <w:t xml:space="preserve">Росреестр </w:t>
      </w:r>
      <w:r>
        <w:rPr>
          <w:rFonts w:ascii="Segoe UI" w:hAnsi="Segoe UI" w:cs="Segoe UI"/>
          <w:b/>
          <w:bCs/>
          <w:sz w:val="24"/>
        </w:rPr>
        <w:t xml:space="preserve">разъясняет:</w:t>
      </w:r>
      <w:r>
        <w:rPr>
          <w:rFonts w:ascii="Segoe UI" w:hAnsi="Segoe UI" w:cs="Segoe UI"/>
          <w:b/>
          <w:bCs/>
          <w:sz w:val="24"/>
        </w:rPr>
        <w:t xml:space="preserve"> </w:t>
      </w:r>
      <w:r>
        <w:rPr>
          <w:rFonts w:ascii="Segoe UI" w:hAnsi="Segoe UI" w:cs="Segoe UI"/>
          <w:b/>
          <w:bCs/>
          <w:sz w:val="24"/>
        </w:rPr>
        <w:t xml:space="preserve">тонкости</w:t>
      </w:r>
      <w:r>
        <w:rPr>
          <w:rFonts w:ascii="Segoe UI" w:hAnsi="Segoe UI" w:cs="Segoe UI"/>
          <w:b/>
          <w:bCs/>
          <w:sz w:val="24"/>
        </w:rPr>
        <w:t xml:space="preserve"> </w:t>
      </w:r>
      <w:r>
        <w:rPr>
          <w:rFonts w:ascii="Segoe UI" w:hAnsi="Segoe UI" w:cs="Segoe UI"/>
          <w:b/>
          <w:bCs/>
          <w:sz w:val="24"/>
        </w:rPr>
        <w:t xml:space="preserve">зон</w:t>
      </w:r>
      <w:r>
        <w:rPr>
          <w:rFonts w:ascii="Segoe UI" w:hAnsi="Segoe UI" w:cs="Segoe UI"/>
          <w:b/>
          <w:bCs/>
          <w:sz w:val="24"/>
        </w:rPr>
        <w:t xml:space="preserve"> с особыми условиями использования территорий</w:t>
      </w:r>
      <w:r>
        <w:rPr>
          <w:rFonts w:ascii="Segoe UI" w:hAnsi="Segoe UI" w:cs="Segoe UI"/>
          <w:b/>
          <w:bCs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Зоны с особыми условиями использования территорий (ЗОУИТ) – </w:t>
      </w:r>
      <w:r>
        <w:rPr>
          <w:rFonts w:ascii="Segoe UI" w:hAnsi="Segoe UI" w:cs="Segoe UI"/>
          <w:sz w:val="24"/>
        </w:rPr>
        <w:t xml:space="preserve">территории с особым правовым режимом и ограничениями, например, по эксплуатации участка и</w:t>
      </w:r>
      <w:r>
        <w:rPr>
          <w:rFonts w:ascii="Segoe UI" w:hAnsi="Segoe UI" w:cs="Segoe UI"/>
          <w:sz w:val="24"/>
        </w:rPr>
        <w:t xml:space="preserve"> строительств</w:t>
      </w:r>
      <w:r>
        <w:rPr>
          <w:rFonts w:ascii="Segoe UI" w:hAnsi="Segoe UI" w:cs="Segoe UI"/>
          <w:sz w:val="24"/>
        </w:rPr>
        <w:t xml:space="preserve">у</w:t>
      </w:r>
      <w:r>
        <w:rPr>
          <w:rFonts w:ascii="Segoe UI" w:hAnsi="Segoe UI" w:cs="Segoe UI"/>
          <w:sz w:val="24"/>
        </w:rPr>
        <w:t xml:space="preserve"> на них. Такие </w:t>
      </w:r>
      <w:r>
        <w:rPr>
          <w:rFonts w:ascii="Segoe UI" w:hAnsi="Segoe UI" w:cs="Segoe UI"/>
          <w:sz w:val="24"/>
        </w:rPr>
        <w:t xml:space="preserve">з</w:t>
      </w:r>
      <w:r>
        <w:rPr>
          <w:rFonts w:ascii="Segoe UI" w:hAnsi="Segoe UI" w:cs="Segoe UI"/>
          <w:sz w:val="24"/>
        </w:rPr>
        <w:t xml:space="preserve">оны устанавливаются для защиты жизни и здоровья граждан, обеспечения сохранности объектов культурного наследия и охраны окружающей среды.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Виды ЗОУИТ определены в ст. 105 Земельного кодекса РФ: всего 28. Среди них: охранная зона особо охраняемой природной территории, приаэродромные территории, зоны охраны объектов культурного наследия и другие.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i/>
          <w:iCs/>
          <w:sz w:val="24"/>
        </w:rPr>
        <w:t xml:space="preserve">«</w:t>
      </w:r>
      <w:r>
        <w:rPr>
          <w:rFonts w:ascii="Segoe UI" w:hAnsi="Segoe UI" w:cs="Segoe UI"/>
          <w:i/>
          <w:iCs/>
          <w:sz w:val="24"/>
        </w:rPr>
        <w:t xml:space="preserve">Внесение сведений о зоне с особыми условиями использования территорий влияет на дальнейшее использование земельного участка либо части земельного участка, непосредственно попавшей в границу такой зоны, а также может повлиять на возможность стр</w:t>
      </w:r>
      <w:r>
        <w:rPr>
          <w:rFonts w:ascii="Segoe UI" w:hAnsi="Segoe UI" w:cs="Segoe UI"/>
          <w:i/>
          <w:iCs/>
          <w:sz w:val="24"/>
        </w:rPr>
        <w:t xml:space="preserve">оительства в границах такой зоны. Здесь требуется соблюдение определенных параметров строительства, не противоречащих установленным ограничениям. В некоторых случаях потребуется согласование строительства с органом, уполномоченным на установление таких зон</w:t>
      </w:r>
      <w:r>
        <w:rPr>
          <w:rFonts w:ascii="Segoe UI" w:hAnsi="Segoe UI" w:cs="Segoe UI"/>
          <w:i/>
          <w:iCs/>
          <w:sz w:val="24"/>
        </w:rPr>
        <w:t xml:space="preserve">»</w:t>
      </w:r>
      <w:r>
        <w:rPr>
          <w:rFonts w:ascii="Segoe UI" w:hAnsi="Segoe UI" w:cs="Segoe UI"/>
          <w:sz w:val="24"/>
        </w:rPr>
        <w:t xml:space="preserve">, </w:t>
      </w:r>
      <w:r>
        <w:rPr>
          <w:rFonts w:ascii="Segoe UI" w:hAnsi="Segoe UI" w:cs="Segoe UI"/>
          <w:sz w:val="24"/>
        </w:rPr>
        <w:t xml:space="preserve">–</w:t>
      </w:r>
      <w:r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 xml:space="preserve">отметил руководитель Управления </w:t>
      </w:r>
      <w:r>
        <w:rPr>
          <w:rFonts w:ascii="Segoe UI" w:hAnsi="Segoe UI" w:cs="Segoe UI"/>
          <w:b/>
          <w:bCs/>
          <w:sz w:val="24"/>
        </w:rPr>
        <w:t xml:space="preserve">Игорь Цыганаш</w:t>
      </w:r>
      <w:r>
        <w:rPr>
          <w:rFonts w:ascii="Segoe UI" w:hAnsi="Segoe UI" w:cs="Segoe UI"/>
          <w:sz w:val="24"/>
        </w:rPr>
        <w:t xml:space="preserve">.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Например, в </w:t>
      </w:r>
      <w:r>
        <w:rPr>
          <w:rFonts w:ascii="Segoe UI" w:hAnsi="Segoe UI" w:cs="Segoe UI"/>
          <w:sz w:val="24"/>
        </w:rPr>
        <w:t xml:space="preserve">Свердловской области </w:t>
      </w:r>
      <w:r>
        <w:rPr>
          <w:rFonts w:ascii="Segoe UI" w:hAnsi="Segoe UI" w:cs="Segoe UI"/>
          <w:sz w:val="24"/>
        </w:rPr>
        <w:t xml:space="preserve">в Единый государственный реестр недвижимости внесены зоны, на территории которых строительство объектов капитального строительства можно осуществлять исключительно по согласованию с федеральным органом исполнительной власти. Такие зоны частично охватывают </w:t>
      </w:r>
      <w:r>
        <w:rPr>
          <w:rFonts w:ascii="Segoe UI" w:hAnsi="Segoe UI" w:cs="Segoe UI"/>
          <w:sz w:val="24"/>
        </w:rPr>
        <w:t xml:space="preserve">юго-восточную часть </w:t>
      </w:r>
      <w:r>
        <w:rPr>
          <w:rFonts w:ascii="Segoe UI" w:hAnsi="Segoe UI" w:cs="Segoe UI"/>
          <w:sz w:val="24"/>
        </w:rPr>
        <w:t xml:space="preserve">город</w:t>
      </w:r>
      <w:r>
        <w:rPr>
          <w:rFonts w:ascii="Segoe UI" w:hAnsi="Segoe UI" w:cs="Segoe UI"/>
          <w:sz w:val="24"/>
        </w:rPr>
        <w:t xml:space="preserve">а</w:t>
      </w:r>
      <w:r>
        <w:rPr>
          <w:rFonts w:ascii="Segoe UI" w:hAnsi="Segoe UI" w:cs="Segoe UI"/>
          <w:sz w:val="24"/>
        </w:rPr>
        <w:t xml:space="preserve"> Екатеринбург</w:t>
      </w:r>
      <w:r>
        <w:rPr>
          <w:rFonts w:ascii="Segoe UI" w:hAnsi="Segoe UI" w:cs="Segoe UI"/>
          <w:sz w:val="24"/>
        </w:rPr>
        <w:t xml:space="preserve">а</w:t>
      </w:r>
      <w:r>
        <w:rPr>
          <w:rFonts w:ascii="Segoe UI" w:hAnsi="Segoe UI" w:cs="Segoe UI"/>
          <w:sz w:val="24"/>
        </w:rPr>
        <w:t xml:space="preserve"> и </w:t>
      </w:r>
      <w:r>
        <w:rPr>
          <w:rFonts w:ascii="Segoe UI" w:hAnsi="Segoe UI" w:cs="Segoe UI"/>
          <w:sz w:val="24"/>
        </w:rPr>
        <w:t xml:space="preserve">часть </w:t>
      </w:r>
      <w:r>
        <w:rPr>
          <w:rFonts w:ascii="Segoe UI" w:hAnsi="Segoe UI" w:cs="Segoe UI"/>
          <w:sz w:val="24"/>
        </w:rPr>
        <w:t xml:space="preserve">Белоярск</w:t>
      </w:r>
      <w:r>
        <w:rPr>
          <w:rFonts w:ascii="Segoe UI" w:hAnsi="Segoe UI" w:cs="Segoe UI"/>
          <w:sz w:val="24"/>
        </w:rPr>
        <w:t xml:space="preserve">ого</w:t>
      </w:r>
      <w:r>
        <w:rPr>
          <w:rFonts w:ascii="Segoe UI" w:hAnsi="Segoe UI" w:cs="Segoe UI"/>
          <w:sz w:val="24"/>
        </w:rPr>
        <w:t xml:space="preserve"> городско</w:t>
      </w:r>
      <w:r>
        <w:rPr>
          <w:rFonts w:ascii="Segoe UI" w:hAnsi="Segoe UI" w:cs="Segoe UI"/>
          <w:sz w:val="24"/>
        </w:rPr>
        <w:t xml:space="preserve">го</w:t>
      </w:r>
      <w:r>
        <w:rPr>
          <w:rFonts w:ascii="Segoe UI" w:hAnsi="Segoe UI" w:cs="Segoe UI"/>
          <w:sz w:val="24"/>
        </w:rPr>
        <w:t xml:space="preserve"> округ</w:t>
      </w:r>
      <w:r>
        <w:rPr>
          <w:rFonts w:ascii="Segoe UI" w:hAnsi="Segoe UI" w:cs="Segoe UI"/>
          <w:sz w:val="24"/>
        </w:rPr>
        <w:t xml:space="preserve">а</w:t>
      </w:r>
      <w:r>
        <w:rPr>
          <w:rFonts w:ascii="Segoe UI" w:hAnsi="Segoe UI" w:cs="Segoe UI"/>
          <w:sz w:val="24"/>
        </w:rPr>
        <w:t xml:space="preserve">.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Уточнить расположение ЗОУИТ можно двумя способами: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Перв</w:t>
      </w:r>
      <w:r>
        <w:rPr>
          <w:rFonts w:ascii="Segoe UI" w:hAnsi="Segoe UI" w:cs="Segoe UI"/>
          <w:sz w:val="24"/>
        </w:rPr>
        <w:t xml:space="preserve">ый</w:t>
      </w:r>
      <w:r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 xml:space="preserve">–</w:t>
      </w:r>
      <w:r>
        <w:rPr>
          <w:rFonts w:ascii="Segoe UI" w:hAnsi="Segoe UI" w:cs="Segoe UI"/>
          <w:sz w:val="24"/>
        </w:rPr>
        <w:t xml:space="preserve"> с</w:t>
      </w:r>
      <w:r>
        <w:rPr>
          <w:rFonts w:ascii="Segoe UI" w:hAnsi="Segoe UI" w:cs="Segoe UI"/>
          <w:sz w:val="24"/>
        </w:rPr>
        <w:t xml:space="preserve"> помощью </w:t>
      </w:r>
      <w:hyperlink r:id="rId11" w:tooltip="https://nspd.gov.ru/" w:history="1">
        <w:r>
          <w:rPr>
            <w:rStyle w:val="632"/>
            <w:rFonts w:ascii="Segoe UI" w:hAnsi="Segoe UI" w:cs="Segoe UI"/>
            <w:sz w:val="24"/>
          </w:rPr>
          <w:t xml:space="preserve">платформы Национальной системы пространственных данных</w:t>
        </w:r>
      </w:hyperlink>
      <w:r>
        <w:rPr>
          <w:rFonts w:ascii="Segoe UI" w:hAnsi="Segoe UI" w:cs="Segoe UI"/>
          <w:sz w:val="24"/>
        </w:rPr>
        <w:t xml:space="preserve"> (</w:t>
      </w:r>
      <w:r>
        <w:rPr>
          <w:rFonts w:ascii="Segoe UI" w:hAnsi="Segoe UI" w:cs="Segoe UI"/>
          <w:sz w:val="24"/>
        </w:rPr>
        <w:t xml:space="preserve">https://nspd.gov.ru/</w:t>
      </w:r>
      <w:r>
        <w:rPr>
          <w:rFonts w:ascii="Segoe UI" w:hAnsi="Segoe UI" w:cs="Segoe UI"/>
          <w:sz w:val="24"/>
        </w:rPr>
        <w:t xml:space="preserve">)</w:t>
      </w:r>
      <w:r>
        <w:rPr>
          <w:rFonts w:ascii="Segoe UI" w:hAnsi="Segoe UI" w:cs="Segoe UI"/>
          <w:sz w:val="24"/>
        </w:rPr>
        <w:t xml:space="preserve">. Для э</w:t>
      </w:r>
      <w:r>
        <w:rPr>
          <w:rFonts w:ascii="Segoe UI" w:hAnsi="Segoe UI" w:cs="Segoe UI"/>
          <w:sz w:val="24"/>
        </w:rPr>
        <w:t xml:space="preserve">того необходимо перейти в раздел «Карты» и перейти в «Карты НСПД». В выплывшем окне выбрать «Зоны с особыми условиями использования территорий», в строке поиска указать адрес объекта недвижимости или его кадастровый номер. После этого на карте отобразятся </w:t>
      </w:r>
      <w:r>
        <w:rPr>
          <w:rFonts w:ascii="Segoe UI" w:hAnsi="Segoe UI" w:cs="Segoe UI"/>
          <w:sz w:val="24"/>
        </w:rPr>
        <w:t xml:space="preserve">его границы, а слева – информация об объекте.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Второй – выписка из ЕГРН</w:t>
      </w:r>
      <w:r>
        <w:rPr>
          <w:rFonts w:ascii="Segoe UI" w:hAnsi="Segoe UI" w:cs="Segoe UI"/>
          <w:sz w:val="24"/>
        </w:rPr>
        <w:t xml:space="preserve"> об объекте недвижимости</w:t>
      </w:r>
      <w:r>
        <w:rPr>
          <w:rFonts w:ascii="Segoe UI" w:hAnsi="Segoe UI" w:cs="Segoe UI"/>
          <w:sz w:val="24"/>
        </w:rPr>
        <w:t xml:space="preserve">, которую можно заказать через портал Госуслуг или в офисах МФЦ. </w:t>
      </w:r>
      <w:r>
        <w:rPr>
          <w:rFonts w:ascii="Segoe UI" w:hAnsi="Segoe UI" w:cs="Segoe UI"/>
          <w:sz w:val="24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sz w:val="24"/>
          <w:szCs w:val="24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9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000750" cy="0"/>
                <wp:effectExtent l="0" t="0" r="19050" b="19050"/>
                <wp:wrapNone/>
                <wp:docPr id="2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margin;mso-position-horizontal:right;mso-position-vertical-relative:text;margin-top:5.3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</w:p>
    <w:p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8"/>
    <w:next w:val="62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8"/>
    <w:next w:val="62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8"/>
    <w:next w:val="62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8"/>
    <w:next w:val="62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8"/>
    <w:next w:val="62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8"/>
    <w:next w:val="62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8"/>
    <w:next w:val="62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8"/>
    <w:next w:val="62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8"/>
    <w:next w:val="62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8"/>
    <w:next w:val="62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9"/>
    <w:link w:val="35"/>
    <w:uiPriority w:val="10"/>
    <w:rPr>
      <w:sz w:val="48"/>
      <w:szCs w:val="48"/>
    </w:rPr>
  </w:style>
  <w:style w:type="paragraph" w:styleId="37">
    <w:name w:val="Subtitle"/>
    <w:basedOn w:val="628"/>
    <w:next w:val="62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9"/>
    <w:link w:val="37"/>
    <w:uiPriority w:val="11"/>
    <w:rPr>
      <w:sz w:val="24"/>
      <w:szCs w:val="24"/>
    </w:rPr>
  </w:style>
  <w:style w:type="paragraph" w:styleId="39">
    <w:name w:val="Quote"/>
    <w:basedOn w:val="628"/>
    <w:next w:val="62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8"/>
    <w:next w:val="62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9"/>
    <w:link w:val="43"/>
    <w:uiPriority w:val="99"/>
  </w:style>
  <w:style w:type="paragraph" w:styleId="45">
    <w:name w:val="Footer"/>
    <w:basedOn w:val="62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9"/>
    <w:link w:val="45"/>
    <w:uiPriority w:val="99"/>
  </w:style>
  <w:style w:type="paragraph" w:styleId="47">
    <w:name w:val="Caption"/>
    <w:basedOn w:val="628"/>
    <w:next w:val="62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9"/>
    <w:uiPriority w:val="99"/>
    <w:unhideWhenUsed/>
    <w:rPr>
      <w:vertAlign w:val="superscript"/>
    </w:rPr>
  </w:style>
  <w:style w:type="paragraph" w:styleId="179">
    <w:name w:val="endnote text"/>
    <w:basedOn w:val="62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9"/>
    <w:uiPriority w:val="99"/>
    <w:semiHidden/>
    <w:unhideWhenUsed/>
    <w:rPr>
      <w:vertAlign w:val="superscript"/>
    </w:rPr>
  </w:style>
  <w:style w:type="paragraph" w:styleId="182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8"/>
    <w:next w:val="628"/>
    <w:uiPriority w:val="99"/>
    <w:unhideWhenUsed/>
    <w:pPr>
      <w:spacing w:after="0" w:afterAutospacing="0"/>
    </w:pPr>
  </w:style>
  <w:style w:type="paragraph" w:styleId="628" w:default="1">
    <w:name w:val="Normal"/>
    <w:qFormat/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character" w:styleId="632">
    <w:name w:val="Hyperlink"/>
    <w:basedOn w:val="629"/>
    <w:uiPriority w:val="99"/>
    <w:unhideWhenUsed/>
    <w:rPr>
      <w:color w:val="0563c1" w:themeColor="hyperlink"/>
      <w:u w:val="single"/>
    </w:rPr>
  </w:style>
  <w:style w:type="character" w:styleId="633">
    <w:name w:val="Unresolved Mention"/>
    <w:basedOn w:val="629"/>
    <w:uiPriority w:val="99"/>
    <w:semiHidden/>
    <w:unhideWhenUsed/>
    <w:rPr>
      <w:color w:val="605e5c"/>
      <w:shd w:val="clear" w:color="auto" w:fill="e1dfdd"/>
    </w:rPr>
  </w:style>
  <w:style w:type="paragraph" w:styleId="634">
    <w:name w:val="List Paragraph"/>
    <w:basedOn w:val="628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hyperlink" Target="https://nspd.gov.ru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C50B0-185E-4430-892E-981474D4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Бейзлер Вероника Дмитриевна</dc:creator>
  <cp:keywords/>
  <dc:description/>
  <cp:lastModifiedBy>черныхин@uralegrp.local</cp:lastModifiedBy>
  <cp:revision>40</cp:revision>
  <dcterms:created xsi:type="dcterms:W3CDTF">2026-07-01T08:57:00Z</dcterms:created>
  <dcterms:modified xsi:type="dcterms:W3CDTF">2026-10-22T06:35:22Z</dcterms:modified>
</cp:coreProperties>
</file>