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8"/>
        <w:jc w:val="center"/>
        <w:spacing w:after="0" w:line="240" w:lineRule="auto"/>
        <w:rPr>
          <w:rFonts w:ascii="Segoe UI" w:hAnsi="Segoe UI" w:cs="Segoe UI" w:eastAsiaTheme="minorEastAsia"/>
          <w:sz w:val="28"/>
          <w:szCs w:val="28"/>
          <w:lang w:eastAsia="sk-SK"/>
        </w:rPr>
      </w:pPr>
      <w:r>
        <w:rPr>
          <w:rFonts w:cs="Times New Roman" w:eastAsiaTheme="minorEastAsia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-304800</wp:posOffset>
                </wp:positionV>
                <wp:extent cx="2692400" cy="981075"/>
                <wp:effectExtent l="0" t="0" r="0" b="0"/>
                <wp:wrapNone/>
                <wp:docPr id="1" name="Рисунок 1" descr="C:\Users\ЗилаловаГП\Downloads\imgonline-com-ua-Resize-AxUH5qc9MGoX5H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 descr="C:\Users\ЗилаловаГП\Downloads\imgonline-com-ua-Resize-AxUH5qc9MGoX5HD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692400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51659264;o:allowoverlap:true;o:allowincell:true;mso-position-horizontal-relative:text;margin-left:-3.00pt;mso-position-horizontal:absolute;mso-position-vertical-relative:text;margin-top:-24.00pt;mso-position-vertical:absolute;width:212.00pt;height:77.25pt;mso-wrap-distance-left:9.00pt;mso-wrap-distance-top:0.00pt;mso-wrap-distance-right:9.00pt;mso-wrap-distance-bottom:0.00pt;z-index:1;" stroked="f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</w:p>
    <w:p>
      <w:pPr>
        <w:ind w:firstLine="708"/>
        <w:jc w:val="right"/>
        <w:spacing w:after="0" w:line="240" w:lineRule="auto"/>
        <w:rPr>
          <w:rFonts w:ascii="Segoe UI" w:hAnsi="Segoe UI" w:cs="Segoe UI" w:eastAsiaTheme="minorEastAsia"/>
          <w:sz w:val="28"/>
          <w:szCs w:val="28"/>
          <w:lang w:eastAsia="sk-SK"/>
        </w:rPr>
      </w:pPr>
      <w:r>
        <w:rPr>
          <w:rFonts w:ascii="Segoe UI" w:hAnsi="Segoe UI" w:cs="Segoe UI" w:eastAsiaTheme="minorEastAsia"/>
          <w:sz w:val="28"/>
          <w:szCs w:val="28"/>
          <w:lang w:eastAsia="sk-SK"/>
        </w:rPr>
      </w:r>
      <w:r>
        <w:rPr>
          <w:rFonts w:ascii="Segoe UI" w:hAnsi="Segoe UI" w:cs="Segoe UI" w:eastAsiaTheme="minorEastAsia"/>
          <w:sz w:val="28"/>
          <w:szCs w:val="28"/>
          <w:lang w:eastAsia="sk-SK"/>
        </w:rPr>
      </w:r>
    </w:p>
    <w:p>
      <w:pPr>
        <w:ind w:firstLine="708"/>
        <w:jc w:val="right"/>
        <w:spacing w:after="0" w:line="240" w:lineRule="auto"/>
        <w:rPr>
          <w:rFonts w:ascii="Segoe UI" w:hAnsi="Segoe UI" w:cs="Segoe UI" w:eastAsiaTheme="minorEastAsia"/>
          <w:b/>
          <w:sz w:val="28"/>
          <w:szCs w:val="28"/>
          <w:lang w:eastAsia="sk-SK"/>
        </w:rPr>
      </w:pPr>
      <w:r>
        <w:rPr>
          <w:rFonts w:ascii="Segoe UI" w:hAnsi="Segoe UI" w:cs="Segoe UI" w:eastAsiaTheme="minorEastAsia"/>
          <w:b/>
          <w:sz w:val="28"/>
          <w:szCs w:val="28"/>
          <w:lang w:eastAsia="sk-SK"/>
        </w:rPr>
        <w:t xml:space="preserve">ПРЕСС-РЕЛИЗ</w:t>
      </w:r>
      <w:r>
        <w:rPr>
          <w:rFonts w:ascii="Segoe UI" w:hAnsi="Segoe UI" w:cs="Segoe UI" w:eastAsiaTheme="minorEastAsia"/>
          <w:b/>
          <w:sz w:val="28"/>
          <w:szCs w:val="28"/>
          <w:lang w:eastAsia="sk-SK"/>
        </w:rPr>
      </w:r>
    </w:p>
    <w:p>
      <w:pPr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</w:r>
      <w:r>
        <w:rPr>
          <w:rFonts w:ascii="Segoe UI" w:hAnsi="Segoe UI" w:cs="Segoe UI"/>
          <w:b/>
          <w:sz w:val="24"/>
          <w:szCs w:val="24"/>
        </w:rPr>
      </w:r>
    </w:p>
    <w:p>
      <w:pPr>
        <w:ind w:firstLine="709"/>
        <w:jc w:val="center"/>
        <w:rPr>
          <w:rFonts w:ascii="Segoe UI" w:hAnsi="Segoe UI" w:cs="Segoe UI"/>
          <w:b/>
          <w:bCs/>
          <w:sz w:val="24"/>
        </w:rPr>
      </w:pPr>
      <w:r>
        <w:rPr>
          <w:rFonts w:ascii="Segoe UI" w:hAnsi="Segoe UI" w:cs="Segoe UI"/>
          <w:b/>
          <w:bCs/>
          <w:sz w:val="24"/>
        </w:rPr>
        <w:t xml:space="preserve">Управление опубликовало рейтинг кадастровых инженеров Свердловской области за </w:t>
      </w:r>
      <w:r>
        <w:rPr>
          <w:rFonts w:ascii="Segoe UI" w:hAnsi="Segoe UI" w:cs="Segoe UI"/>
          <w:b/>
          <w:bCs/>
          <w:sz w:val="24"/>
        </w:rPr>
        <w:t xml:space="preserve">9 месяцев</w:t>
      </w:r>
      <w:r>
        <w:rPr>
          <w:rFonts w:ascii="Segoe UI" w:hAnsi="Segoe UI" w:cs="Segoe UI"/>
          <w:b/>
          <w:bCs/>
          <w:sz w:val="24"/>
        </w:rPr>
        <w:t xml:space="preserve"> 2026 года</w:t>
      </w:r>
      <w:r>
        <w:rPr>
          <w:rFonts w:ascii="Segoe UI" w:hAnsi="Segoe UI" w:cs="Segoe UI"/>
          <w:b/>
          <w:bCs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Для постановки объектов недвижимости на кадастровый учет гражданам необходимо воспользоваться услугами кадастрового инженера. </w:t>
      </w:r>
      <w:r>
        <w:rPr>
          <w:rFonts w:ascii="Segoe UI" w:hAnsi="Segoe UI" w:cs="Segoe UI"/>
          <w:sz w:val="24"/>
        </w:rPr>
        <w:t xml:space="preserve">Выбор грамотного и квалифицированного специалиста – залог качества проведения кадастровых работ и подготовки по их результатам достоверных документов.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Управление</w:t>
      </w:r>
      <w:r>
        <w:rPr>
          <w:rFonts w:ascii="Segoe UI" w:hAnsi="Segoe UI" w:cs="Segoe UI"/>
          <w:sz w:val="24"/>
        </w:rPr>
        <w:t xml:space="preserve">м</w:t>
      </w:r>
      <w:r>
        <w:rPr>
          <w:rFonts w:ascii="Segoe UI" w:hAnsi="Segoe UI" w:cs="Segoe UI"/>
          <w:sz w:val="24"/>
        </w:rPr>
        <w:t xml:space="preserve"> Росреестра по Свердловской области подготов</w:t>
      </w:r>
      <w:r>
        <w:rPr>
          <w:rFonts w:ascii="Segoe UI" w:hAnsi="Segoe UI" w:cs="Segoe UI"/>
          <w:sz w:val="24"/>
        </w:rPr>
        <w:t xml:space="preserve">лен</w:t>
      </w:r>
      <w:r>
        <w:rPr>
          <w:rFonts w:ascii="Segoe UI" w:hAnsi="Segoe UI" w:cs="Segoe UI"/>
          <w:sz w:val="24"/>
        </w:rPr>
        <w:t xml:space="preserve"> рейтинг кадастровых инженеров, осуществляющих свою деятельность на территории Свердловской области. В </w:t>
      </w:r>
      <w:r>
        <w:rPr>
          <w:rFonts w:ascii="Segoe UI" w:hAnsi="Segoe UI" w:cs="Segoe UI"/>
          <w:sz w:val="24"/>
        </w:rPr>
        <w:t xml:space="preserve">2026 году</w:t>
      </w:r>
      <w:r>
        <w:rPr>
          <w:rFonts w:ascii="Segoe UI" w:hAnsi="Segoe UI" w:cs="Segoe UI"/>
          <w:sz w:val="24"/>
        </w:rPr>
        <w:t xml:space="preserve"> на территории Свердловской области кадастровую деятельность осуществляли более </w:t>
      </w:r>
      <w:r>
        <w:rPr>
          <w:rFonts w:ascii="Segoe UI" w:hAnsi="Segoe UI" w:cs="Segoe UI"/>
          <w:sz w:val="24"/>
        </w:rPr>
        <w:t xml:space="preserve">7</w:t>
      </w:r>
      <w:r>
        <w:rPr>
          <w:rFonts w:ascii="Segoe UI" w:hAnsi="Segoe UI" w:cs="Segoe UI"/>
          <w:sz w:val="24"/>
        </w:rPr>
        <w:t xml:space="preserve">00 кадастровых инженеров.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Рейтинг опубликован на сайте Росреестра в разделе Открытая служба – Статистика и аналитика (Свердловская область) – Рейтинг кадастровых инженеров на территории Свердловской области –</w:t>
      </w:r>
      <w:r>
        <w:rPr>
          <w:rFonts w:ascii="Segoe UI" w:hAnsi="Segoe UI" w:cs="Segoe UI"/>
          <w:sz w:val="24"/>
        </w:rPr>
        <w:t xml:space="preserve"> </w:t>
      </w:r>
      <w:hyperlink r:id="rId10" w:tooltip="https://rosreestr.gov.ru/open-service/statistika-i-analitika/reyting-kadastrovykh-inzhenerov-417/" w:history="1">
        <w:r>
          <w:rPr>
            <w:rStyle w:val="632"/>
            <w:rFonts w:ascii="Segoe UI" w:hAnsi="Segoe UI" w:cs="Segoe UI"/>
            <w:sz w:val="24"/>
          </w:rPr>
          <w:t xml:space="preserve">Рейтинги кадастровых инженеров за 9 месяцев 2026 года</w:t>
        </w:r>
      </w:hyperlink>
      <w:r>
        <w:rPr>
          <w:rFonts w:ascii="Segoe UI" w:hAnsi="Segoe UI" w:cs="Segoe UI"/>
          <w:sz w:val="24"/>
        </w:rPr>
        <w:t xml:space="preserve"> (</w:t>
      </w:r>
      <w:r>
        <w:rPr>
          <w:rFonts w:ascii="Segoe UI" w:hAnsi="Segoe UI" w:cs="Segoe UI"/>
          <w:sz w:val="24"/>
        </w:rPr>
        <w:t xml:space="preserve">https://rosreestr.gov.ru/open-service/statistika-i-analitika/reyting-kadastrovykh-inzhenerov-417/</w:t>
      </w:r>
      <w:r>
        <w:rPr>
          <w:rFonts w:ascii="Segoe UI" w:hAnsi="Segoe UI" w:cs="Segoe UI"/>
          <w:sz w:val="24"/>
        </w:rPr>
        <w:t xml:space="preserve">)</w:t>
      </w:r>
      <w:r>
        <w:rPr>
          <w:rFonts w:ascii="Segoe UI" w:hAnsi="Segoe UI" w:cs="Segoe UI"/>
          <w:sz w:val="24"/>
        </w:rPr>
        <w:t xml:space="preserve">.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i/>
          <w:iCs/>
          <w:sz w:val="24"/>
        </w:rPr>
        <w:t xml:space="preserve">«</w:t>
      </w:r>
      <w:r>
        <w:rPr>
          <w:rFonts w:ascii="Segoe UI" w:hAnsi="Segoe UI" w:cs="Segoe UI"/>
          <w:i/>
          <w:iCs/>
          <w:sz w:val="24"/>
        </w:rPr>
        <w:t xml:space="preserve">Рейтинг является инструментом оценки профессиональной деятельности кадастрового инженера. Управление ре</w:t>
      </w:r>
      <w:r>
        <w:rPr>
          <w:rFonts w:ascii="Segoe UI" w:hAnsi="Segoe UI" w:cs="Segoe UI"/>
          <w:i/>
          <w:iCs/>
          <w:sz w:val="24"/>
        </w:rPr>
        <w:t xml:space="preserve">комендует использовать эту информацию при выборе специалиста, так как в ней указано все необходимое: общее количество подготовленных документов, доля как положительных, так и отрицательных решений по документам. От профессионализма кадастрового инженера на</w:t>
      </w:r>
      <w:r>
        <w:rPr>
          <w:rFonts w:ascii="Segoe UI" w:hAnsi="Segoe UI" w:cs="Segoe UI"/>
          <w:i/>
          <w:iCs/>
          <w:sz w:val="24"/>
        </w:rPr>
        <w:t xml:space="preserve">прямую зависит качество подготовки документов, необходимых для государственного кадастрового учета. Так, наличие ошибок в межевом или техническом плане в дальнейшем может стать причиной приостановки или отказа в кадастровом учете и регистрации недвижимости</w:t>
      </w:r>
      <w:r>
        <w:rPr>
          <w:rFonts w:ascii="Segoe UI" w:hAnsi="Segoe UI" w:cs="Segoe UI"/>
          <w:i/>
          <w:iCs/>
          <w:sz w:val="24"/>
        </w:rPr>
        <w:t xml:space="preserve">»,</w:t>
      </w:r>
      <w:r>
        <w:rPr>
          <w:rFonts w:ascii="Segoe UI" w:hAnsi="Segoe UI" w:cs="Segoe UI"/>
          <w:sz w:val="24"/>
        </w:rPr>
        <w:t xml:space="preserve"> - отметила заместитель руководителя Управления </w:t>
      </w:r>
      <w:r>
        <w:rPr>
          <w:rFonts w:ascii="Segoe UI" w:hAnsi="Segoe UI" w:cs="Segoe UI"/>
          <w:b/>
          <w:bCs/>
          <w:sz w:val="24"/>
        </w:rPr>
        <w:t xml:space="preserve">Ирина Семкина</w:t>
      </w:r>
      <w:r>
        <w:rPr>
          <w:rFonts w:ascii="Segoe UI" w:hAnsi="Segoe UI" w:cs="Segoe UI"/>
          <w:sz w:val="24"/>
        </w:rPr>
        <w:t xml:space="preserve">. </w:t>
      </w:r>
      <w:r>
        <w:rPr>
          <w:rFonts w:ascii="Segoe UI" w:hAnsi="Segoe UI" w:cs="Segoe UI"/>
          <w:sz w:val="24"/>
        </w:rPr>
      </w:r>
    </w:p>
    <w:p>
      <w:pPr>
        <w:ind w:firstLine="709"/>
        <w:jc w:val="both"/>
        <w:rPr>
          <w:rFonts w:ascii="Segoe UI" w:hAnsi="Segoe UI" w:cs="Segoe UI"/>
          <w:sz w:val="24"/>
        </w:rPr>
      </w:pPr>
      <w:r>
        <w:rPr>
          <w:rFonts w:ascii="Segoe UI" w:hAnsi="Segoe UI" w:cs="Segoe UI"/>
          <w:sz w:val="24"/>
        </w:rPr>
        <w:t xml:space="preserve">Напомним, что регистрационные действия в отношении земельного участка не могут быть выполнены, если в Едином государственном ре</w:t>
      </w:r>
      <w:r>
        <w:rPr>
          <w:rFonts w:ascii="Segoe UI" w:hAnsi="Segoe UI" w:cs="Segoe UI"/>
          <w:sz w:val="24"/>
        </w:rPr>
        <w:t xml:space="preserve">естре недвижимости (ЕГРН) отсутствуют сведения о местоположении его границ. Также нельзя поставить на кадастровый учёт или оформить права на здание, сооружение или объект незавершенного строительства, расположенные на земельном участке без учтённых границ.</w:t>
      </w:r>
      <w:r>
        <w:rPr>
          <w:rFonts w:ascii="Segoe UI" w:hAnsi="Segoe UI" w:cs="Segoe UI"/>
          <w:sz w:val="24"/>
        </w:rPr>
      </w:r>
    </w:p>
    <w:p>
      <w:pPr>
        <w:jc w:val="both"/>
        <w:spacing w:after="0" w:line="240" w:lineRule="auto"/>
        <w:rPr>
          <w:rFonts w:ascii="Segoe UI" w:hAnsi="Segoe UI" w:cs="Segoe UI" w:eastAsiaTheme="minorEastAsia"/>
          <w:sz w:val="24"/>
          <w:szCs w:val="24"/>
          <w:lang w:eastAsia="ru-RU"/>
        </w:rPr>
      </w:pPr>
      <w:r>
        <w:rPr>
          <w:rFonts w:cs="Times New Roman" w:eastAsiaTheme="minorEastAsia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4294967289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67945</wp:posOffset>
                </wp:positionV>
                <wp:extent cx="6000750" cy="0"/>
                <wp:effectExtent l="0" t="0" r="19050" b="19050"/>
                <wp:wrapNone/>
                <wp:docPr id="2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1" o:spid="_x0000_s1" o:spt="32" type="#_x0000_t32" style="position:absolute;z-index:251661312;o:allowoverlap:true;o:allowincell:true;mso-position-horizontal-relative:margin;mso-position-horizontal:right;mso-position-vertical-relative:text;margin-top:5.35pt;mso-position-vertical:absolute;width:472.50pt;height:0.00pt;mso-wrap-distance-left:9.00pt;mso-wrap-distance-top:0.00pt;mso-wrap-distance-right:9.00pt;mso-wrap-distance-bottom:-169093.20pt;visibility:visible;" filled="f" strokecolor="#0070C0" strokeweight="1.25pt"/>
            </w:pict>
          </mc:Fallback>
        </mc:AlternateContent>
      </w:r>
      <w:r>
        <w:rPr>
          <w:rFonts w:ascii="Segoe UI" w:hAnsi="Segoe UI" w:cs="Segoe UI" w:eastAsiaTheme="minorEastAsia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pPr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  <w:r>
        <w:rPr>
          <w:rFonts w:ascii="Times New Roman" w:hAnsi="Times New Roman" w:eastAsia="Times New Roman" w:cs="Times New Roman"/>
          <w:sz w:val="40"/>
          <w:szCs w:val="40"/>
          <w:highlight w:val="none"/>
        </w:rPr>
      </w:r>
      <w:r>
        <w:rPr>
          <w:rFonts w:ascii="Segoe UI" w:hAnsi="Segoe UI" w:cs="Segoe UI" w:eastAsiaTheme="minorEastAsia"/>
          <w:b/>
          <w:bCs/>
          <w:sz w:val="24"/>
          <w:szCs w:val="24"/>
          <w:lang w:eastAsia="ru-RU"/>
        </w:rPr>
        <w:t xml:space="preserve">Талицкий отдел Управления Росреестра по Свердловской области</w:t>
      </w:r>
      <w:r/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</w:p>
    <w:p>
      <w:pPr>
        <w:jc w:val="both"/>
        <w:spacing w:after="0" w:line="240" w:lineRule="auto"/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pPr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</w:p>
    <w:p>
      <w:pPr>
        <w:jc w:val="both"/>
        <w:spacing w:after="0" w:line="240" w:lineRule="auto"/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pPr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  <w:r>
        <w:rPr>
          <w:rFonts w:ascii="Segoe UI" w:hAnsi="Segoe UI" w:cs="Segoe UI" w:eastAsiaTheme="minorEastAsia"/>
          <w:color w:val="000000"/>
          <w:sz w:val="18"/>
          <w:szCs w:val="18"/>
          <w:lang w:eastAsia="ru-RU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204020203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8"/>
    <w:next w:val="62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8"/>
    <w:next w:val="62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8"/>
    <w:next w:val="62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8"/>
    <w:next w:val="62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8"/>
    <w:next w:val="62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8"/>
    <w:next w:val="62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8"/>
    <w:next w:val="62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8"/>
    <w:next w:val="62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8"/>
    <w:next w:val="62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8"/>
    <w:next w:val="62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9"/>
    <w:link w:val="35"/>
    <w:uiPriority w:val="10"/>
    <w:rPr>
      <w:sz w:val="48"/>
      <w:szCs w:val="48"/>
    </w:rPr>
  </w:style>
  <w:style w:type="paragraph" w:styleId="37">
    <w:name w:val="Subtitle"/>
    <w:basedOn w:val="628"/>
    <w:next w:val="62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9"/>
    <w:link w:val="37"/>
    <w:uiPriority w:val="11"/>
    <w:rPr>
      <w:sz w:val="24"/>
      <w:szCs w:val="24"/>
    </w:rPr>
  </w:style>
  <w:style w:type="paragraph" w:styleId="39">
    <w:name w:val="Quote"/>
    <w:basedOn w:val="628"/>
    <w:next w:val="62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8"/>
    <w:next w:val="62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9"/>
    <w:link w:val="43"/>
    <w:uiPriority w:val="99"/>
  </w:style>
  <w:style w:type="paragraph" w:styleId="45">
    <w:name w:val="Footer"/>
    <w:basedOn w:val="62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9"/>
    <w:link w:val="45"/>
    <w:uiPriority w:val="99"/>
  </w:style>
  <w:style w:type="paragraph" w:styleId="47">
    <w:name w:val="Caption"/>
    <w:basedOn w:val="628"/>
    <w:next w:val="62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3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3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9"/>
    <w:uiPriority w:val="99"/>
    <w:unhideWhenUsed/>
    <w:rPr>
      <w:vertAlign w:val="superscript"/>
    </w:rPr>
  </w:style>
  <w:style w:type="paragraph" w:styleId="179">
    <w:name w:val="endnote text"/>
    <w:basedOn w:val="62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9"/>
    <w:uiPriority w:val="99"/>
    <w:semiHidden/>
    <w:unhideWhenUsed/>
    <w:rPr>
      <w:vertAlign w:val="superscript"/>
    </w:rPr>
  </w:style>
  <w:style w:type="paragraph" w:styleId="182">
    <w:name w:val="toc 1"/>
    <w:basedOn w:val="628"/>
    <w:next w:val="62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8"/>
    <w:next w:val="62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8"/>
    <w:next w:val="62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8"/>
    <w:next w:val="62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8"/>
    <w:next w:val="62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8"/>
    <w:next w:val="62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8"/>
    <w:next w:val="62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8"/>
    <w:next w:val="62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8"/>
    <w:next w:val="62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8"/>
    <w:next w:val="628"/>
    <w:uiPriority w:val="99"/>
    <w:unhideWhenUsed/>
    <w:pPr>
      <w:spacing w:after="0" w:afterAutospacing="0"/>
    </w:pPr>
  </w:style>
  <w:style w:type="paragraph" w:styleId="628" w:default="1">
    <w:name w:val="Normal"/>
    <w:qFormat/>
  </w:style>
  <w:style w:type="character" w:styleId="629" w:default="1">
    <w:name w:val="Default Paragraph Font"/>
    <w:uiPriority w:val="1"/>
    <w:semiHidden/>
    <w:unhideWhenUsed/>
  </w:style>
  <w:style w:type="table" w:styleId="6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1" w:default="1">
    <w:name w:val="No List"/>
    <w:uiPriority w:val="99"/>
    <w:semiHidden/>
    <w:unhideWhenUsed/>
  </w:style>
  <w:style w:type="character" w:styleId="632">
    <w:name w:val="Hyperlink"/>
    <w:basedOn w:val="629"/>
    <w:uiPriority w:val="99"/>
    <w:unhideWhenUsed/>
    <w:rPr>
      <w:color w:val="0563c1" w:themeColor="hyperlink"/>
      <w:u w:val="single"/>
    </w:rPr>
  </w:style>
  <w:style w:type="character" w:styleId="633">
    <w:name w:val="Unresolved Mention"/>
    <w:basedOn w:val="629"/>
    <w:uiPriority w:val="99"/>
    <w:semiHidden/>
    <w:unhideWhenUsed/>
    <w:rPr>
      <w:color w:val="605e5c"/>
      <w:shd w:val="clear" w:color="auto" w:fill="e1dfdd"/>
    </w:rPr>
  </w:style>
  <w:style w:type="paragraph" w:styleId="634">
    <w:name w:val="List Paragraph"/>
    <w:basedOn w:val="628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rosreestr.gov.ru/open-service/statistika-i-analitika/reyting-kadastrovykh-inzhenerov-417/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Р7-Офис/2026.3.1.3296-2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Бейзлер Вероника Дмитриевна</dc:creator>
  <cp:keywords/>
  <dc:description/>
  <cp:lastModifiedBy>черныхин@uralegrp.local</cp:lastModifiedBy>
  <cp:revision>40</cp:revision>
  <dcterms:created xsi:type="dcterms:W3CDTF">2026-07-01T08:57:00Z</dcterms:created>
  <dcterms:modified xsi:type="dcterms:W3CDTF">2026-10-20T06:05:37Z</dcterms:modified>
</cp:coreProperties>
</file>