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 w:line="240" w:lineRule="exact"/>
        <w:ind w:firstLine="850" w:left="0" w:right="0"/>
        <w:jc w:val="both"/>
        <w:rPr>
          <w:rFonts w:ascii="Times New Roman" w:hAnsi="Times New Roman"/>
          <w:b w:val="1"/>
          <w:color w:val="000000"/>
          <w:spacing w:val="0"/>
          <w:sz w:val="28"/>
          <w:u w:val="none"/>
        </w:rPr>
      </w:pPr>
    </w:p>
    <w:p w14:paraId="02000000">
      <w:pPr>
        <w:widowControl w:val="1"/>
        <w:spacing w:after="0" w:before="0" w:line="240" w:lineRule="exact"/>
        <w:ind w:firstLine="850" w:left="0" w:right="0"/>
        <w:jc w:val="both"/>
        <w:rPr>
          <w:rFonts w:ascii="Times New Roman" w:hAnsi="Times New Roman"/>
          <w:b w:val="1"/>
          <w:color w:val="000000"/>
          <w:spacing w:val="0"/>
          <w:sz w:val="28"/>
          <w:u w:val="none"/>
        </w:rPr>
      </w:pPr>
    </w:p>
    <w:p w14:paraId="03000000">
      <w:pPr>
        <w:widowControl w:val="1"/>
        <w:spacing w:after="0" w:before="0" w:line="240" w:lineRule="exact"/>
        <w:ind w:firstLine="0" w:left="0" w:right="0"/>
        <w:jc w:val="both"/>
        <w:rPr>
          <w:rFonts w:ascii="Times New Roman" w:hAnsi="Times New Roman"/>
          <w:b w:val="1"/>
          <w:color w:val="000000"/>
          <w:spacing w:val="0"/>
          <w:sz w:val="28"/>
          <w:u w:val="none"/>
        </w:rPr>
      </w:pPr>
      <w:r>
        <w:rPr>
          <w:rFonts w:ascii="Times New Roman" w:hAnsi="Times New Roman"/>
          <w:b w:val="1"/>
          <w:color w:val="000000"/>
          <w:sz w:val="28"/>
          <w:u w:val="none"/>
        </w:rPr>
        <w:t xml:space="preserve">Новый порядок </w:t>
      </w:r>
      <w:r>
        <w:rPr>
          <w:rFonts w:ascii="Times New Roman" w:hAnsi="Times New Roman"/>
          <w:b w:val="1"/>
          <w:color w:val="000000"/>
          <w:sz w:val="28"/>
          <w:u w:val="none"/>
        </w:rPr>
        <w:t>муниципальной экспертизы проекта освоения лесов заработает с 01.09.2026</w:t>
      </w:r>
    </w:p>
    <w:p w14:paraId="04000000">
      <w:pPr>
        <w:widowControl w:val="1"/>
        <w:spacing w:after="0" w:before="0" w:line="240" w:lineRule="exact"/>
        <w:ind w:firstLine="85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5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Министерством природных ресурсов и экологии Российской Федерации 03.03.2026 издан приказ № 113</w:t>
      </w:r>
      <w:r>
        <w:rPr>
          <w:rFonts w:ascii="Times New Roman" w:hAnsi="Times New Roman"/>
          <w:color w:val="000000"/>
          <w:sz w:val="28"/>
          <w:u w:val="none"/>
        </w:rPr>
        <w:t xml:space="preserve"> «</w:t>
      </w:r>
      <w:r>
        <w:rPr>
          <w:rFonts w:ascii="Times New Roman" w:hAnsi="Times New Roman"/>
          <w:b w:val="0"/>
          <w:color w:val="000000"/>
          <w:sz w:val="28"/>
          <w:u w:val="none"/>
        </w:rPr>
        <w:t>Об утверждении Порядка государственной или муниципальной экспертизы проекта освоения лесов», который вступает в силу с 01.09.2026.</w:t>
      </w:r>
    </w:p>
    <w:p w14:paraId="06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7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Государственная или муниципальная экспертиза проекта освоения лесов, изменений в проект освоения лесов (далее также - Экспертиза) проводится органами государственной власти и органами местного самоуправления в пределах полномочий, установленных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статьями 81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-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84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Лесного кодекса РФ.</w:t>
      </w:r>
    </w:p>
    <w:p w14:paraId="08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9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Для проведения Экспертизы органы государственной власти и органы местного самоуправления образовывают экспертные комиссии. В состав экспертной комиссии должны входить два представителя общественных объединений и (или) некоммерческих организаций, осуществляющих деятельность в области охраны окружающей среды (экологии и природопользования).</w:t>
      </w:r>
    </w:p>
    <w:p w14:paraId="0A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B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Лица, использующие леса, для проведения Экспертизы подают в электронной форме в органы государственной власти или органы местного самоуправления заявление с приложением проекта освоения лесов или внесенных в него изменений (далее – Материалы), посредством единого портала государственных и муниципальных услуг и (или) региональных порталов государственных и муниципальных услуг или иных информационных технологий взаимодействия с органами исполнительной власти,</w:t>
      </w:r>
    </w:p>
    <w:p w14:paraId="0C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D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 xml:space="preserve">Экспертиза проводится в течение не более чем 8 рабочих дней со дня поступления проекта освоения лесов в уполномоченные федеральный орган исполнительной власти, орган государственной власти субъекта Российской Федерации или орган местного самоуправления. Государственная или муниципальная экспертиза изменений в проект освоения лесов, подготовленных на основании акта лесопатологического обследования, проводится в течение не более чем 10 рабочих дней со дня их поступления в уполномоченные федеральный орган исполнительной власти, орган государственной власти субъекта Российской Федерации или орган местного самоуправления. </w:t>
      </w:r>
      <w:r>
        <w:rPr>
          <w:rFonts w:ascii="Times New Roman" w:hAnsi="Times New Roman"/>
          <w:b w:val="0"/>
          <w:color w:val="000000"/>
          <w:sz w:val="28"/>
          <w:u w:val="none"/>
        </w:rPr>
        <w:t>Экспертиза при использовании лесов в соответствии со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 xml:space="preserve">статьей 29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Лесного кодекса РФ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(для заготовки древесины)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проводится в срок не более чем 11 рабочих дней со дня поступления проекта освоения лесов в уполномоченные соответственно федеральный орган исполнительной власти, исполнительный орган субъекта Российской Федерации.</w:t>
      </w:r>
    </w:p>
    <w:p w14:paraId="0E000000">
      <w:pPr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br/>
      </w: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2026-07-16T10:53:43Z</dcterms:created>
  <dcterms:modified xsi:type="dcterms:W3CDTF">2026-07-16T11:25:35Z</dcterms:modified>
</cp:coreProperties>
</file>