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 descr="C:\Users\ЗилаловаГП\Downloads\imgonline-com-ua-Resize-AxUH5qc9MGoX5H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9860907" name="Рисунок 2" descr="C:\Users\ЗилаловаГП\Downloads\imgonline-com-ua-Resize-AxUH5qc9MGoX5H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397" cy="98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b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b/>
          <w:sz w:val="28"/>
          <w:szCs w:val="28"/>
          <w:lang w:eastAsia="sk-SK"/>
        </w:rPr>
        <w:t xml:space="preserve">ПРЕСС-РЕЛИЗ</w:t>
      </w:r>
      <w:r>
        <w:rPr>
          <w:rFonts w:ascii="Segoe UI" w:hAnsi="Segoe UI" w:cs="Segoe UI" w:eastAsiaTheme="minorEastAsia"/>
          <w:b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b/>
          <w:sz w:val="28"/>
          <w:szCs w:val="28"/>
          <w:lang w:eastAsia="sk-SK"/>
        </w:rPr>
      </w:r>
    </w:p>
    <w:p>
      <w:pPr>
        <w:jc w:val="center"/>
      </w:pPr>
      <w:r/>
      <w:r/>
    </w:p>
    <w:p>
      <w:pPr>
        <w:jc w:val="center"/>
        <w:rPr>
          <w:rFonts w:ascii="Segoe UI" w:hAnsi="Segoe UI" w:eastAsia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b/>
          <w:bCs/>
          <w:sz w:val="24"/>
          <w:szCs w:val="24"/>
        </w:rPr>
        <w:t xml:space="preserve">Экстерриториальный прием документов на недвижимость в воссоединенных регионах В МФЦ Свердловской области стал доступнее</w:t>
      </w:r>
      <w:r>
        <w:rPr>
          <w:rFonts w:ascii="Segoe UI" w:hAnsi="Segoe UI" w:eastAsia="Segoe UI" w:cs="Segoe UI"/>
          <w:b/>
          <w:bCs/>
          <w:sz w:val="24"/>
          <w:szCs w:val="24"/>
        </w:rPr>
      </w:r>
      <w:r>
        <w:rPr>
          <w:rFonts w:ascii="Segoe UI" w:hAnsi="Segoe UI" w:eastAsia="Segoe UI" w:cs="Segoe UI"/>
          <w:b/>
          <w:bCs/>
          <w:sz w:val="24"/>
          <w:szCs w:val="24"/>
        </w:rPr>
      </w:r>
    </w:p>
    <w:p>
      <w:pPr>
        <w:ind w:left="0" w:right="0" w:firstLine="425"/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  <w:t xml:space="preserve">Свердловский Росреестр напоминает</w:t>
      </w:r>
      <w:r>
        <w:rPr>
          <w:rFonts w:ascii="Segoe UI" w:hAnsi="Segoe UI" w:eastAsia="Segoe UI" w:cs="Segoe UI"/>
          <w:sz w:val="24"/>
          <w:szCs w:val="24"/>
        </w:rPr>
        <w:t xml:space="preserve">, что </w:t>
      </w:r>
      <w:r>
        <w:rPr>
          <w:rFonts w:ascii="Segoe UI" w:hAnsi="Segoe UI" w:eastAsia="Segoe UI" w:cs="Segoe UI"/>
          <w:sz w:val="24"/>
          <w:szCs w:val="24"/>
        </w:rPr>
        <w:t xml:space="preserve">на территории Свердловской области </w:t>
      </w:r>
      <w:r>
        <w:rPr>
          <w:rFonts w:ascii="Segoe UI" w:hAnsi="Segoe UI" w:eastAsia="Segoe UI" w:cs="Segoe UI"/>
          <w:sz w:val="24"/>
          <w:szCs w:val="24"/>
        </w:rPr>
        <w:t xml:space="preserve">организован прием документов на </w:t>
      </w:r>
      <w:r>
        <w:rPr>
          <w:rFonts w:ascii="Segoe UI" w:hAnsi="Segoe UI" w:eastAsia="Segoe UI" w:cs="Segoe UI"/>
          <w:sz w:val="24"/>
          <w:szCs w:val="24"/>
        </w:rPr>
        <w:t xml:space="preserve">экстерриториальное оформление недвижимости, расположенной на воссоединенных российских территориях.</w:t>
      </w:r>
      <w:r>
        <w:rPr>
          <w:rFonts w:ascii="Segoe UI" w:hAnsi="Segoe UI" w:eastAsia="Segoe UI" w:cs="Segoe UI"/>
          <w:sz w:val="24"/>
          <w:szCs w:val="24"/>
        </w:rPr>
        <w:t xml:space="preserve"> </w:t>
      </w:r>
      <w:r>
        <w:rPr>
          <w:rFonts w:ascii="Segoe UI" w:hAnsi="Segoe UI" w:eastAsia="Segoe UI" w:cs="Segoe UI"/>
          <w:sz w:val="24"/>
          <w:szCs w:val="24"/>
        </w:rPr>
        <w:t xml:space="preserve">Граждане могут подать документы</w:t>
      </w:r>
      <w:r>
        <w:rPr>
          <w:rFonts w:ascii="Segoe UI" w:hAnsi="Segoe UI" w:eastAsia="Segoe UI" w:cs="Segoe UI"/>
          <w:sz w:val="24"/>
          <w:szCs w:val="24"/>
        </w:rPr>
        <w:t xml:space="preserve"> в офисах МФЦ региона</w:t>
      </w:r>
      <w:r>
        <w:rPr>
          <w:rFonts w:ascii="Segoe UI" w:hAnsi="Segoe UI" w:eastAsia="Segoe UI" w:cs="Segoe UI"/>
          <w:sz w:val="24"/>
          <w:szCs w:val="24"/>
        </w:rPr>
        <w:t xml:space="preserve"> </w:t>
      </w:r>
      <w:bookmarkStart w:id="0" w:name="_GoBack"/>
      <w:r/>
      <w:bookmarkEnd w:id="0"/>
      <w:r>
        <w:rPr>
          <w:rFonts w:ascii="Segoe UI" w:hAnsi="Segoe UI" w:eastAsia="Segoe UI" w:cs="Segoe UI"/>
          <w:sz w:val="24"/>
          <w:szCs w:val="24"/>
        </w:rPr>
        <w:t xml:space="preserve">на кадастровый учет и регистрацию</w:t>
      </w:r>
      <w:r>
        <w:rPr>
          <w:rFonts w:ascii="Segoe UI" w:hAnsi="Segoe UI" w:eastAsia="Segoe UI" w:cs="Segoe UI"/>
          <w:sz w:val="24"/>
          <w:szCs w:val="24"/>
        </w:rPr>
        <w:t xml:space="preserve"> прав на объекты недвижимости </w:t>
      </w:r>
      <w:r>
        <w:rPr>
          <w:rFonts w:ascii="Segoe UI" w:hAnsi="Segoe UI" w:eastAsia="Segoe UI" w:cs="Segoe UI"/>
          <w:sz w:val="24"/>
          <w:szCs w:val="24"/>
        </w:rPr>
        <w:t xml:space="preserve">в </w:t>
      </w:r>
      <w:r>
        <w:rPr>
          <w:rFonts w:ascii="Segoe UI" w:hAnsi="Segoe UI" w:eastAsia="Segoe UI" w:cs="Segoe UI"/>
          <w:sz w:val="24"/>
          <w:szCs w:val="24"/>
        </w:rPr>
        <w:t xml:space="preserve">Луганской Народной Республике, Донецкой Народной Республике, Запорожской и Херсонской областях</w:t>
      </w:r>
      <w:r>
        <w:rPr>
          <w:rFonts w:ascii="Segoe UI" w:hAnsi="Segoe UI" w:eastAsia="Segoe UI" w:cs="Segoe UI"/>
          <w:sz w:val="24"/>
          <w:szCs w:val="24"/>
        </w:rPr>
        <w:t xml:space="preserve">.</w:t>
      </w: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</w:rPr>
      </w:r>
    </w:p>
    <w:p>
      <w:pPr>
        <w:ind w:left="0" w:right="0" w:firstLine="425"/>
        <w:jc w:val="both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i/>
          <w:iCs/>
          <w:sz w:val="24"/>
          <w:szCs w:val="24"/>
        </w:rPr>
        <w:t xml:space="preserve">«Принцип экстерриториальности означает, что подать заявление можно независимо от места нахождения объ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екта недвижимости. Расширение географии предоставления таких услуг является частью системной работы Росреестра по обеспечению доступности государственных услуг для граждан и юридических лиц», </w:t>
      </w:r>
      <w:r>
        <w:rPr>
          <w:rFonts w:ascii="Segoe UI" w:hAnsi="Segoe UI" w:eastAsia="Segoe UI" w:cs="Segoe UI"/>
          <w:sz w:val="24"/>
          <w:szCs w:val="24"/>
        </w:rPr>
        <w:t xml:space="preserve">- сообщил руководитель Управления Росреестра по Свердловской обл</w:t>
      </w:r>
      <w:r>
        <w:rPr>
          <w:rFonts w:ascii="Segoe UI" w:hAnsi="Segoe UI" w:eastAsia="Segoe UI" w:cs="Segoe UI"/>
          <w:sz w:val="24"/>
          <w:szCs w:val="24"/>
        </w:rPr>
        <w:t xml:space="preserve">асти </w:t>
      </w:r>
      <w:r>
        <w:rPr>
          <w:rFonts w:ascii="Segoe UI" w:hAnsi="Segoe UI" w:eastAsia="Segoe UI" w:cs="Segoe UI"/>
          <w:b/>
          <w:bCs/>
          <w:sz w:val="24"/>
          <w:szCs w:val="24"/>
        </w:rPr>
        <w:t xml:space="preserve">Игорь Цыганаш.</w:t>
      </w:r>
      <w:r>
        <w:rPr>
          <w:rFonts w:ascii="Segoe UI" w:hAnsi="Segoe UI" w:cs="Segoe UI"/>
          <w:b/>
          <w:bCs/>
          <w:sz w:val="24"/>
          <w:szCs w:val="24"/>
        </w:rPr>
      </w:r>
      <w:r>
        <w:rPr>
          <w:rFonts w:ascii="Segoe UI" w:hAnsi="Segoe UI" w:cs="Segoe UI"/>
          <w:b/>
          <w:bCs/>
          <w:sz w:val="24"/>
          <w:szCs w:val="24"/>
        </w:rPr>
      </w:r>
    </w:p>
    <w:p>
      <w:pPr>
        <w:ind w:left="0" w:right="0" w:firstLine="425"/>
        <w:jc w:val="both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i/>
          <w:iCs/>
          <w:sz w:val="24"/>
          <w:szCs w:val="24"/>
        </w:rPr>
        <w:t xml:space="preserve">«Такой порядок подачи документов позволяет значительно упростить и ускорить процедуру оформления прав на недвижимое имущество, расположенное на воссоединенных территориях»,</w:t>
      </w:r>
      <w:r>
        <w:rPr>
          <w:rFonts w:ascii="Segoe UI" w:hAnsi="Segoe UI" w:cs="Segoe UI"/>
          <w:sz w:val="24"/>
          <w:szCs w:val="24"/>
        </w:rPr>
        <w:t xml:space="preserve"> - отметила директор МФЦ Свердловской области </w:t>
      </w:r>
      <w:r>
        <w:rPr>
          <w:rFonts w:ascii="Segoe UI" w:hAnsi="Segoe UI" w:cs="Segoe UI"/>
          <w:b/>
          <w:bCs/>
          <w:sz w:val="24"/>
          <w:szCs w:val="24"/>
        </w:rPr>
        <w:t xml:space="preserve">Анастасия Зайруллина.</w:t>
      </w:r>
      <w:r>
        <w:rPr>
          <w:rFonts w:ascii="Segoe UI" w:hAnsi="Segoe UI" w:cs="Segoe UI"/>
          <w:b/>
          <w:bCs/>
          <w:sz w:val="24"/>
          <w:szCs w:val="24"/>
        </w:rPr>
      </w:r>
      <w:r>
        <w:rPr>
          <w:rFonts w:ascii="Segoe UI" w:hAnsi="Segoe UI" w:cs="Segoe UI"/>
          <w:b/>
          <w:bCs/>
          <w:sz w:val="24"/>
          <w:szCs w:val="24"/>
        </w:rPr>
      </w:r>
    </w:p>
    <w:p>
      <w:pPr>
        <w:ind w:left="0" w:right="0" w:firstLine="425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  <w:t xml:space="preserve">Для оформления недвижимости в воссоединенных российских территориях следует обращаться в офисы МФЦ Свердловской области в городах: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854"/>
        <w:numPr>
          <w:ilvl w:val="0"/>
          <w:numId w:val="1"/>
        </w:numPr>
        <w:ind w:left="0" w:right="0" w:firstLine="425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Нижний Тагил, ул. Ломоносова, 2а</w:t>
      </w:r>
      <w:r/>
    </w:p>
    <w:p>
      <w:pPr>
        <w:pStyle w:val="854"/>
        <w:numPr>
          <w:ilvl w:val="0"/>
          <w:numId w:val="1"/>
        </w:numPr>
        <w:ind w:left="0" w:right="0" w:firstLine="425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Серов, ул. Заславского, д. 15/6</w:t>
      </w:r>
      <w:r/>
    </w:p>
    <w:p>
      <w:pPr>
        <w:pStyle w:val="854"/>
        <w:numPr>
          <w:ilvl w:val="0"/>
          <w:numId w:val="1"/>
        </w:numPr>
        <w:ind w:left="0" w:right="0" w:firstLine="425"/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  <w:t xml:space="preserve">Каменск-Уральский, ул. Ленина, 34</w:t>
      </w: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</w:rPr>
      </w:r>
    </w:p>
    <w:p>
      <w:pPr>
        <w:pStyle w:val="854"/>
        <w:numPr>
          <w:ilvl w:val="0"/>
          <w:numId w:val="1"/>
        </w:numPr>
        <w:ind w:left="0" w:right="0" w:firstLine="425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Крас</w:t>
      </w:r>
      <w:r>
        <w:rPr>
          <w:rFonts w:ascii="Segoe UI" w:hAnsi="Segoe UI" w:eastAsia="Segoe UI" w:cs="Segoe UI"/>
          <w:sz w:val="24"/>
          <w:szCs w:val="24"/>
        </w:rPr>
        <w:t xml:space="preserve">ноуфимск, ул. Манчажская, д. 15; </w:t>
      </w:r>
      <w:r/>
    </w:p>
    <w:p>
      <w:pPr>
        <w:pStyle w:val="854"/>
        <w:numPr>
          <w:ilvl w:val="0"/>
          <w:numId w:val="1"/>
        </w:numPr>
        <w:ind w:left="0" w:right="0" w:firstLine="425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Североуральск, ул. Ленина, д. 29; </w:t>
      </w:r>
      <w:r/>
    </w:p>
    <w:p>
      <w:pPr>
        <w:pStyle w:val="854"/>
        <w:numPr>
          <w:ilvl w:val="0"/>
          <w:numId w:val="1"/>
        </w:numPr>
        <w:ind w:left="0" w:right="0" w:firstLine="425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Талица, ул. Пушкина, д. 1а; </w:t>
      </w:r>
      <w:r/>
    </w:p>
    <w:p>
      <w:pPr>
        <w:pStyle w:val="854"/>
        <w:numPr>
          <w:ilvl w:val="0"/>
          <w:numId w:val="1"/>
        </w:numPr>
        <w:ind w:left="0" w:right="0" w:firstLine="425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Туринск, ул. Кирова, д. 46; </w:t>
      </w:r>
      <w:r/>
    </w:p>
    <w:p>
      <w:pPr>
        <w:pStyle w:val="854"/>
        <w:numPr>
          <w:ilvl w:val="0"/>
          <w:numId w:val="1"/>
        </w:numPr>
        <w:ind w:left="0" w:right="0" w:firstLine="425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Тавда, ул. Заводская, д. 7а. </w:t>
      </w:r>
      <w:r/>
    </w:p>
    <w:p>
      <w:pPr>
        <w:ind w:left="0" w:right="0" w:firstLine="425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Кроме  того, с 12 мая 2026 года вышеуказанный  прием  документов  стал  доступен для заявителей в</w:t>
      </w:r>
      <w:r>
        <w:rPr>
          <w:rFonts w:ascii="Segoe UI" w:hAnsi="Segoe UI" w:eastAsia="Segoe UI" w:cs="Segoe UI"/>
          <w:sz w:val="24"/>
          <w:szCs w:val="24"/>
        </w:rPr>
        <w:t xml:space="preserve">о всех офисах МФЦ города Екатеринбурга. </w:t>
      </w:r>
      <w:r/>
    </w:p>
    <w:p>
      <w:pPr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  <w:t xml:space="preserve">#РосреестрРазъясняет #УслугиРосреестра #ЭкстерриториальныйПриёмДокументв #МФЦ #Свердловская_область</w:t>
      </w: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sz w:val="24"/>
          <w:szCs w:val="24"/>
          <w:lang w:eastAsia="ru-RU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515396068" distL="114300" distR="114300" simplePos="0" relativeHeight="25166131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116204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61312;o:allowoverlap:true;o:allowincell:true;mso-position-horizontal-relative:text;margin-left:-7.65pt;mso-position-horizontal:absolute;mso-position-vertical-relative:text;margin-top:9.15pt;mso-position-vertical:absolute;width:472.50pt;height:0.00pt;mso-wrap-distance-left:9.00pt;mso-wrap-distance-top:0.00pt;mso-wrap-distance-right:9.00pt;mso-wrap-distance-bottom:40582.37pt;visibility:visible;" filled="f" strokecolor="#0070C0" strokeweight="1.25pt"/>
            </w:pict>
          </mc:Fallback>
        </mc:AlternateContent>
      </w:r>
      <w:r>
        <w:rPr>
          <w:rFonts w:ascii="Segoe UI" w:hAnsi="Segoe UI" w:cs="Segoe UI" w:eastAsiaTheme="minorEastAsia"/>
          <w:sz w:val="24"/>
          <w:szCs w:val="24"/>
          <w:lang w:eastAsia="ru-RU"/>
        </w:rPr>
      </w:r>
      <w:r>
        <w:rPr>
          <w:rFonts w:ascii="Segoe UI" w:hAnsi="Segoe UI" w:cs="Segoe UI" w:eastAsiaTheme="minorEastAsia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pP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</w:p>
    <w:p>
      <w:r/>
      <w:r/>
    </w:p>
    <w:p>
      <w:pPr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683"/>
    <w:link w:val="674"/>
    <w:uiPriority w:val="9"/>
    <w:rPr>
      <w:rFonts w:ascii="Arial" w:hAnsi="Arial" w:eastAsia="Arial" w:cs="Arial"/>
      <w:sz w:val="40"/>
      <w:szCs w:val="40"/>
    </w:rPr>
  </w:style>
  <w:style w:type="character" w:styleId="657">
    <w:name w:val="Heading 2 Char"/>
    <w:basedOn w:val="683"/>
    <w:link w:val="675"/>
    <w:uiPriority w:val="9"/>
    <w:rPr>
      <w:rFonts w:ascii="Arial" w:hAnsi="Arial" w:eastAsia="Arial" w:cs="Arial"/>
      <w:sz w:val="34"/>
    </w:rPr>
  </w:style>
  <w:style w:type="character" w:styleId="658">
    <w:name w:val="Heading 3 Char"/>
    <w:basedOn w:val="683"/>
    <w:link w:val="676"/>
    <w:uiPriority w:val="9"/>
    <w:rPr>
      <w:rFonts w:ascii="Arial" w:hAnsi="Arial" w:eastAsia="Arial" w:cs="Arial"/>
      <w:sz w:val="30"/>
      <w:szCs w:val="30"/>
    </w:rPr>
  </w:style>
  <w:style w:type="character" w:styleId="659">
    <w:name w:val="Heading 4 Char"/>
    <w:basedOn w:val="683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660">
    <w:name w:val="Heading 5 Char"/>
    <w:basedOn w:val="68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661">
    <w:name w:val="Heading 6 Char"/>
    <w:basedOn w:val="683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662">
    <w:name w:val="Heading 7 Char"/>
    <w:basedOn w:val="68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8 Char"/>
    <w:basedOn w:val="683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664">
    <w:name w:val="Heading 9 Char"/>
    <w:basedOn w:val="68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character" w:styleId="665">
    <w:name w:val="Title Char"/>
    <w:basedOn w:val="683"/>
    <w:link w:val="695"/>
    <w:uiPriority w:val="10"/>
    <w:rPr>
      <w:sz w:val="48"/>
      <w:szCs w:val="48"/>
    </w:rPr>
  </w:style>
  <w:style w:type="character" w:styleId="666">
    <w:name w:val="Subtitle Char"/>
    <w:basedOn w:val="683"/>
    <w:link w:val="697"/>
    <w:uiPriority w:val="11"/>
    <w:rPr>
      <w:sz w:val="24"/>
      <w:szCs w:val="24"/>
    </w:rPr>
  </w:style>
  <w:style w:type="character" w:styleId="667">
    <w:name w:val="Quote Char"/>
    <w:link w:val="699"/>
    <w:uiPriority w:val="29"/>
    <w:rPr>
      <w:i/>
    </w:rPr>
  </w:style>
  <w:style w:type="character" w:styleId="668">
    <w:name w:val="Intense Quote Char"/>
    <w:link w:val="701"/>
    <w:uiPriority w:val="30"/>
    <w:rPr>
      <w:i/>
    </w:rPr>
  </w:style>
  <w:style w:type="character" w:styleId="669">
    <w:name w:val="Header Char"/>
    <w:basedOn w:val="683"/>
    <w:link w:val="703"/>
    <w:uiPriority w:val="99"/>
  </w:style>
  <w:style w:type="character" w:styleId="670">
    <w:name w:val="Caption Char"/>
    <w:basedOn w:val="707"/>
    <w:link w:val="705"/>
    <w:uiPriority w:val="99"/>
  </w:style>
  <w:style w:type="character" w:styleId="671">
    <w:name w:val="Footnote Text Char"/>
    <w:link w:val="836"/>
    <w:uiPriority w:val="99"/>
    <w:rPr>
      <w:sz w:val="18"/>
    </w:rPr>
  </w:style>
  <w:style w:type="character" w:styleId="672">
    <w:name w:val="Endnote Text Char"/>
    <w:link w:val="839"/>
    <w:uiPriority w:val="99"/>
    <w:rPr>
      <w:sz w:val="20"/>
    </w:rPr>
  </w:style>
  <w:style w:type="paragraph" w:styleId="673" w:default="1">
    <w:name w:val="Normal"/>
    <w:qFormat/>
  </w:style>
  <w:style w:type="paragraph" w:styleId="674">
    <w:name w:val="Heading 1"/>
    <w:basedOn w:val="673"/>
    <w:next w:val="673"/>
    <w:link w:val="68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5">
    <w:name w:val="Heading 2"/>
    <w:basedOn w:val="673"/>
    <w:next w:val="673"/>
    <w:link w:val="68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6">
    <w:name w:val="Heading 3"/>
    <w:basedOn w:val="673"/>
    <w:next w:val="673"/>
    <w:link w:val="68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7">
    <w:name w:val="Heading 4"/>
    <w:basedOn w:val="673"/>
    <w:next w:val="673"/>
    <w:link w:val="68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673"/>
    <w:next w:val="673"/>
    <w:link w:val="69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673"/>
    <w:next w:val="673"/>
    <w:link w:val="69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0">
    <w:name w:val="Heading 7"/>
    <w:basedOn w:val="673"/>
    <w:next w:val="673"/>
    <w:link w:val="69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1">
    <w:name w:val="Heading 8"/>
    <w:basedOn w:val="673"/>
    <w:next w:val="673"/>
    <w:link w:val="69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2">
    <w:name w:val="Heading 9"/>
    <w:basedOn w:val="673"/>
    <w:next w:val="673"/>
    <w:link w:val="69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Заголовок 1 Знак"/>
    <w:link w:val="674"/>
    <w:uiPriority w:val="9"/>
    <w:rPr>
      <w:rFonts w:ascii="Arial" w:hAnsi="Arial" w:eastAsia="Arial" w:cs="Arial"/>
      <w:sz w:val="40"/>
      <w:szCs w:val="40"/>
    </w:rPr>
  </w:style>
  <w:style w:type="character" w:styleId="687" w:customStyle="1">
    <w:name w:val="Заголовок 2 Знак"/>
    <w:link w:val="675"/>
    <w:uiPriority w:val="9"/>
    <w:rPr>
      <w:rFonts w:ascii="Arial" w:hAnsi="Arial" w:eastAsia="Arial" w:cs="Arial"/>
      <w:sz w:val="34"/>
    </w:rPr>
  </w:style>
  <w:style w:type="character" w:styleId="688" w:customStyle="1">
    <w:name w:val="Заголовок 3 Знак"/>
    <w:link w:val="676"/>
    <w:uiPriority w:val="9"/>
    <w:rPr>
      <w:rFonts w:ascii="Arial" w:hAnsi="Arial" w:eastAsia="Arial" w:cs="Arial"/>
      <w:sz w:val="30"/>
      <w:szCs w:val="30"/>
    </w:rPr>
  </w:style>
  <w:style w:type="character" w:styleId="689" w:customStyle="1">
    <w:name w:val="Заголовок 4 Знак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Заголовок 5 Знак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Заголовок 6 Знак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Заголовок 7 Знак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Заголовок 8 Знак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Заголовок 9 Знак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673"/>
    <w:next w:val="673"/>
    <w:link w:val="696"/>
    <w:uiPriority w:val="10"/>
    <w:qFormat/>
    <w:pPr>
      <w:contextualSpacing/>
      <w:spacing w:before="300"/>
    </w:pPr>
    <w:rPr>
      <w:sz w:val="48"/>
      <w:szCs w:val="48"/>
    </w:rPr>
  </w:style>
  <w:style w:type="character" w:styleId="696" w:customStyle="1">
    <w:name w:val="Название Знак"/>
    <w:link w:val="695"/>
    <w:uiPriority w:val="10"/>
    <w:rPr>
      <w:sz w:val="48"/>
      <w:szCs w:val="48"/>
    </w:rPr>
  </w:style>
  <w:style w:type="paragraph" w:styleId="697">
    <w:name w:val="Subtitle"/>
    <w:basedOn w:val="673"/>
    <w:next w:val="673"/>
    <w:link w:val="698"/>
    <w:uiPriority w:val="11"/>
    <w:qFormat/>
    <w:pPr>
      <w:spacing w:before="200"/>
    </w:pPr>
    <w:rPr>
      <w:sz w:val="24"/>
      <w:szCs w:val="24"/>
    </w:rPr>
  </w:style>
  <w:style w:type="character" w:styleId="698" w:customStyle="1">
    <w:name w:val="Подзаголовок Знак"/>
    <w:link w:val="697"/>
    <w:uiPriority w:val="11"/>
    <w:rPr>
      <w:sz w:val="24"/>
      <w:szCs w:val="24"/>
    </w:rPr>
  </w:style>
  <w:style w:type="paragraph" w:styleId="699">
    <w:name w:val="Quote"/>
    <w:basedOn w:val="673"/>
    <w:next w:val="673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3"/>
    <w:next w:val="673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link w:val="703"/>
    <w:uiPriority w:val="99"/>
  </w:style>
  <w:style w:type="paragraph" w:styleId="705">
    <w:name w:val="Footer"/>
    <w:basedOn w:val="673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uiPriority w:val="99"/>
  </w:style>
  <w:style w:type="paragraph" w:styleId="707">
    <w:name w:val="Caption"/>
    <w:basedOn w:val="673"/>
    <w:next w:val="67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 w:customStyle="1">
    <w:name w:val="Table Grid Light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563c1" w:themeColor="hyperlink"/>
      <w:u w:val="single"/>
    </w:rPr>
  </w:style>
  <w:style w:type="paragraph" w:styleId="836">
    <w:name w:val="footnote text"/>
    <w:basedOn w:val="67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67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673"/>
    <w:next w:val="673"/>
    <w:uiPriority w:val="39"/>
    <w:unhideWhenUsed/>
    <w:pPr>
      <w:spacing w:after="57"/>
    </w:pPr>
  </w:style>
  <w:style w:type="paragraph" w:styleId="843">
    <w:name w:val="toc 2"/>
    <w:basedOn w:val="673"/>
    <w:next w:val="673"/>
    <w:uiPriority w:val="39"/>
    <w:unhideWhenUsed/>
    <w:pPr>
      <w:ind w:left="283"/>
      <w:spacing w:after="57"/>
    </w:pPr>
  </w:style>
  <w:style w:type="paragraph" w:styleId="844">
    <w:name w:val="toc 3"/>
    <w:basedOn w:val="673"/>
    <w:next w:val="673"/>
    <w:uiPriority w:val="39"/>
    <w:unhideWhenUsed/>
    <w:pPr>
      <w:ind w:left="567"/>
      <w:spacing w:after="57"/>
    </w:pPr>
  </w:style>
  <w:style w:type="paragraph" w:styleId="845">
    <w:name w:val="toc 4"/>
    <w:basedOn w:val="673"/>
    <w:next w:val="673"/>
    <w:uiPriority w:val="39"/>
    <w:unhideWhenUsed/>
    <w:pPr>
      <w:ind w:left="850"/>
      <w:spacing w:after="57"/>
    </w:pPr>
  </w:style>
  <w:style w:type="paragraph" w:styleId="846">
    <w:name w:val="toc 5"/>
    <w:basedOn w:val="673"/>
    <w:next w:val="673"/>
    <w:uiPriority w:val="39"/>
    <w:unhideWhenUsed/>
    <w:pPr>
      <w:ind w:left="1134"/>
      <w:spacing w:after="57"/>
    </w:pPr>
  </w:style>
  <w:style w:type="paragraph" w:styleId="847">
    <w:name w:val="toc 6"/>
    <w:basedOn w:val="673"/>
    <w:next w:val="673"/>
    <w:uiPriority w:val="39"/>
    <w:unhideWhenUsed/>
    <w:pPr>
      <w:ind w:left="1417"/>
      <w:spacing w:after="57"/>
    </w:pPr>
  </w:style>
  <w:style w:type="paragraph" w:styleId="848">
    <w:name w:val="toc 7"/>
    <w:basedOn w:val="673"/>
    <w:next w:val="673"/>
    <w:uiPriority w:val="39"/>
    <w:unhideWhenUsed/>
    <w:pPr>
      <w:ind w:left="1701"/>
      <w:spacing w:after="57"/>
    </w:pPr>
  </w:style>
  <w:style w:type="paragraph" w:styleId="849">
    <w:name w:val="toc 8"/>
    <w:basedOn w:val="673"/>
    <w:next w:val="673"/>
    <w:uiPriority w:val="39"/>
    <w:unhideWhenUsed/>
    <w:pPr>
      <w:ind w:left="1984"/>
      <w:spacing w:after="57"/>
    </w:pPr>
  </w:style>
  <w:style w:type="paragraph" w:styleId="850">
    <w:name w:val="toc 9"/>
    <w:basedOn w:val="673"/>
    <w:next w:val="673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3"/>
    <w:next w:val="673"/>
    <w:uiPriority w:val="99"/>
    <w:unhideWhenUsed/>
    <w:pPr>
      <w:spacing w:after="0"/>
    </w:pPr>
  </w:style>
  <w:style w:type="paragraph" w:styleId="853">
    <w:name w:val="No Spacing"/>
    <w:basedOn w:val="673"/>
    <w:uiPriority w:val="1"/>
    <w:qFormat/>
    <w:pPr>
      <w:spacing w:after="0" w:line="240" w:lineRule="auto"/>
    </w:pPr>
  </w:style>
  <w:style w:type="paragraph" w:styleId="854">
    <w:name w:val="List Paragraph"/>
    <w:basedOn w:val="67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9</cp:revision>
  <dcterms:created xsi:type="dcterms:W3CDTF">2026-05-12T05:19:00Z</dcterms:created>
  <dcterms:modified xsi:type="dcterms:W3CDTF">2026-05-15T06:26:18Z</dcterms:modified>
</cp:coreProperties>
</file>