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2551"/>
        <w:gridCol w:w="3544"/>
      </w:tblGrid>
      <w:tr>
        <w:tblPrEx/>
        <w:trPr>
          <w:trHeight w:val="373"/>
        </w:trPr>
        <w:tc>
          <w:tcPr>
            <w:shd w:val="clear" w:color="auto" w:fill="auto"/>
            <w:tcW w:w="3403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52070</wp:posOffset>
                      </wp:positionV>
                      <wp:extent cx="1199515" cy="377825"/>
                      <wp:effectExtent l="0" t="0" r="0" b="3175"/>
                      <wp:wrapThrough wrapText="bothSides">
                        <wp:wrapPolygon edited="1">
                          <wp:start x="1830" y="0"/>
                          <wp:lineTo x="0" y="4356"/>
                          <wp:lineTo x="0" y="15973"/>
                          <wp:lineTo x="1601" y="21055"/>
                          <wp:lineTo x="5031" y="21055"/>
                          <wp:lineTo x="21268" y="20329"/>
                          <wp:lineTo x="21268" y="2904"/>
                          <wp:lineTo x="5031" y="0"/>
                          <wp:lineTo x="1830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951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35pt;mso-position-horizontal:absolute;mso-position-vertical-relative:text;margin-top:4.10pt;mso-position-vertical:absolute;width:94.45pt;height:29.75pt;mso-wrap-distance-left:9.00pt;mso-wrap-distance-top:0.00pt;mso-wrap-distance-right:9.00pt;mso-wrap-distance-bottom:0.00pt;" wrapcoords="8472 0 0 20167 0 73949 7412 97477 23292 97477 98463 94116 98463 13444 23292 0 8472 0" stroked="f">
                      <v:path textboxrect="0,0,0,0"/>
                      <w10:wrap type="through"/>
                      <v:imagedata r:id="rId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551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3544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Публичное акционерное общество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«Россети </w:t>
            </w:r>
            <w:r>
              <w:rPr>
                <w:rFonts w:ascii="Arial Narrow" w:hAnsi="Arial Narrow"/>
                <w:sz w:val="20"/>
                <w:szCs w:val="20"/>
              </w:rPr>
              <w:t xml:space="preserve">Урал</w:t>
            </w:r>
            <w:r>
              <w:rPr>
                <w:rFonts w:ascii="Arial Narrow" w:hAnsi="Arial Narrow"/>
                <w:sz w:val="20"/>
                <w:szCs w:val="20"/>
              </w:rPr>
              <w:t xml:space="preserve">»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448"/>
        </w:trPr>
        <w:tc>
          <w:tcPr>
            <w:shd w:val="clear" w:color="auto" w:fill="auto"/>
            <w:tcW w:w="3403" w:type="dxa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2551" w:type="dxa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3544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142"/>
        </w:trPr>
        <w:tc>
          <w:tcPr>
            <w:shd w:val="clear" w:color="auto" w:fill="auto"/>
            <w:tcW w:w="3403" w:type="dxa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2551" w:type="dxa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</w:p>
        </w:tc>
        <w:tc>
          <w:tcPr>
            <w:shd w:val="clear" w:color="auto" w:fill="auto"/>
            <w:tcW w:w="3544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</w:rPr>
              <w:t xml:space="preserve">ПРЕСС-РЕЛИЗ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</w:r>
          </w:p>
        </w:tc>
      </w:tr>
      <w:tr>
        <w:tblPrEx/>
        <w:trPr>
          <w:trHeight w:val="142"/>
        </w:trPr>
        <w:tc>
          <w:tcPr>
            <w:shd w:val="clear" w:color="auto" w:fill="auto"/>
            <w:tcW w:w="3403" w:type="dxa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2551" w:type="dxa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</w:p>
        </w:tc>
        <w:tc>
          <w:tcPr>
            <w:shd w:val="clear" w:color="auto" w:fill="auto"/>
            <w:tcW w:w="3544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</w:r>
          </w:p>
        </w:tc>
      </w:tr>
      <w:tr>
        <w:tblPrEx/>
        <w:trPr>
          <w:trHeight w:val="142"/>
        </w:trPr>
        <w:tc>
          <w:tcPr>
            <w:shd w:val="clear" w:color="auto" w:fill="auto"/>
            <w:tcW w:w="3403" w:type="dxa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2551" w:type="dxa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13.05</w:t>
            </w:r>
            <w:r>
              <w:rPr>
                <w:rFonts w:ascii="Arial Narrow" w:hAnsi="Arial Narrow"/>
              </w:rPr>
              <w:t xml:space="preserve">.2026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</w:r>
          </w:p>
        </w:tc>
      </w:tr>
      <w:tr>
        <w:tblPrEx/>
        <w:trPr>
          <w:trHeight w:val="518"/>
        </w:trPr>
        <w:tc>
          <w:tcPr>
            <w:shd w:val="clear" w:color="auto" w:fill="auto"/>
            <w:tcW w:w="3403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W w:w="2551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35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</w:tbl>
    <w:p>
      <w:pPr>
        <w:ind w:left="3"/>
        <w:jc w:val="center"/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  <w:r>
        <w:rPr>
          <w:rFonts w:ascii="Arial Narrow" w:hAnsi="Arial Narrow"/>
          <w:sz w:val="28"/>
          <w:szCs w:val="28"/>
        </w:rPr>
      </w:r>
      <w:r>
        <w:rPr>
          <w:rFonts w:ascii="Arial Narrow" w:hAnsi="Arial Narrow"/>
          <w:sz w:val="28"/>
          <w:szCs w:val="28"/>
        </w:rPr>
      </w:r>
    </w:p>
    <w:p>
      <w:pPr>
        <w:ind w:left="-142" w:firstLine="851"/>
        <w:jc w:val="center"/>
        <w:spacing w:after="0"/>
        <w:rPr>
          <w:rFonts w:ascii="Arial Narrow" w:hAnsi="Arial Narrow" w:cs="Arial"/>
          <w:b/>
          <w:sz w:val="26"/>
          <w:szCs w:val="26"/>
        </w:rPr>
      </w:pPr>
      <w:r>
        <w:rPr>
          <w:rFonts w:ascii="Arial Narrow" w:hAnsi="Arial Narrow" w:cs="Arial"/>
          <w:b/>
          <w:sz w:val="26"/>
          <w:szCs w:val="26"/>
        </w:rPr>
      </w:r>
      <w:r>
        <w:rPr>
          <w:rFonts w:ascii="Arial Narrow" w:hAnsi="Arial Narrow" w:cs="Arial"/>
          <w:b/>
          <w:sz w:val="26"/>
          <w:szCs w:val="26"/>
        </w:rPr>
      </w:r>
      <w:r>
        <w:rPr>
          <w:rFonts w:ascii="Arial Narrow" w:hAnsi="Arial Narrow" w:cs="Arial"/>
          <w:b/>
          <w:sz w:val="26"/>
          <w:szCs w:val="26"/>
        </w:rPr>
      </w:r>
    </w:p>
    <w:p>
      <w:pPr>
        <w:contextualSpacing/>
        <w:ind w:left="-142" w:firstLine="0"/>
        <w:jc w:val="center"/>
        <w:rPr>
          <w:sz w:val="26"/>
          <w:szCs w:val="26"/>
        </w:rPr>
        <w:suppressLineNumbers w:val="0"/>
      </w:pPr>
      <w:r>
        <w:rPr>
          <w:rFonts w:ascii="Arial Narrow" w:hAnsi="Arial Narrow" w:eastAsia="Times New Roman" w:cs="Calibri"/>
          <w:b/>
          <w:bCs/>
          <w:color w:val="000000" w:themeColor="text1"/>
          <w:sz w:val="26"/>
          <w:szCs w:val="26"/>
        </w:rPr>
        <w:t xml:space="preserve">«Россети Урал» обеспечили электроснабжение асфальтового завода</w:t>
      </w:r>
      <w:r>
        <w:rPr>
          <w:rFonts w:ascii="Arial Narrow" w:hAnsi="Arial Narrow" w:eastAsia="Times New Roman" w:cs="Calibri"/>
          <w:b/>
          <w:bCs/>
          <w:color w:val="000000" w:themeColor="text1"/>
          <w:sz w:val="26"/>
          <w:szCs w:val="26"/>
        </w:rPr>
        <w:t xml:space="preserve"> на федеральной трассе Екатеринбург-Тюмень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-142" w:firstLine="851"/>
        <w:jc w:val="left"/>
        <w:spacing w:after="0"/>
        <w:rPr>
          <w:rFonts w:ascii="Arial Narrow" w:hAnsi="Arial Narrow" w:cs="Arial"/>
          <w:b/>
          <w:sz w:val="26"/>
          <w:szCs w:val="26"/>
        </w:rPr>
        <w:suppressLineNumbers w:val="0"/>
      </w:pPr>
      <w:r>
        <w:rPr>
          <w:rFonts w:ascii="Arial Narrow" w:hAnsi="Arial Narrow" w:cs="Arial"/>
          <w:b/>
          <w:sz w:val="26"/>
          <w:szCs w:val="26"/>
        </w:rPr>
      </w:r>
      <w:r>
        <w:rPr>
          <w:rFonts w:ascii="Arial Narrow" w:hAnsi="Arial Narrow" w:cs="Arial"/>
          <w:b/>
          <w:sz w:val="26"/>
          <w:szCs w:val="26"/>
        </w:rPr>
      </w:r>
      <w:r>
        <w:rPr>
          <w:rFonts w:ascii="Arial Narrow" w:hAnsi="Arial Narrow" w:cs="Arial"/>
          <w:b/>
          <w:sz w:val="26"/>
          <w:szCs w:val="26"/>
        </w:rPr>
      </w:r>
    </w:p>
    <w:p>
      <w:pPr>
        <w:contextualSpacing/>
        <w:ind w:left="-142" w:firstLine="851"/>
        <w:jc w:val="both"/>
        <w:rPr>
          <w:rFonts w:ascii="Arial Narrow" w:hAnsi="Arial Narrow" w:cs="Arial"/>
          <w:sz w:val="26"/>
          <w:szCs w:val="26"/>
          <w:highlight w:val="none"/>
        </w:rPr>
        <w:suppressLineNumbers w:val="0"/>
      </w:pPr>
      <w:r>
        <w:rPr>
          <w:rFonts w:ascii="Arial Narrow" w:hAnsi="Arial Narrow" w:cs="Arial"/>
          <w:sz w:val="26"/>
          <w:szCs w:val="26"/>
          <w:highlight w:val="none"/>
        </w:rPr>
        <w:t xml:space="preserve">Специалисты свердловского филиала «Россети Урала» подключили к электросетевой инфраструктуре</w:t>
      </w:r>
      <w:r>
        <w:rPr>
          <w:rFonts w:ascii="Arial Narrow" w:hAnsi="Arial Narrow" w:eastAsia="Arial Narrow" w:cs="Arial Narrow"/>
          <w:b w:val="0"/>
          <w:bCs w:val="0"/>
          <w:sz w:val="26"/>
          <w:szCs w:val="26"/>
          <w:highlight w:val="none"/>
          <w14:ligatures w14:val="none"/>
        </w:rPr>
        <w:t xml:space="preserve"> передвижной асфальтобетонный завод (АБЗ) в Тугулымском </w:t>
      </w:r>
      <w:r>
        <w:rPr>
          <w:rFonts w:ascii="Arial Narrow" w:hAnsi="Arial Narrow" w:eastAsia="Arial Narrow" w:cs="Arial Narrow"/>
          <w:b w:val="0"/>
          <w:bCs w:val="0"/>
          <w:sz w:val="26"/>
          <w:szCs w:val="26"/>
          <w:highlight w:val="none"/>
          <w14:ligatures w14:val="none"/>
        </w:rPr>
        <w:t xml:space="preserve">районе </w:t>
      </w:r>
      <w:r>
        <w:rPr>
          <w:rFonts w:ascii="Arial Narrow" w:hAnsi="Arial Narrow" w:eastAsia="Arial Narrow" w:cs="Arial Narrow"/>
          <w:b w:val="0"/>
          <w:bCs w:val="0"/>
          <w:sz w:val="26"/>
          <w:szCs w:val="26"/>
          <w:highlight w:val="none"/>
          <w14:ligatures w14:val="none"/>
        </w:rPr>
        <w:t xml:space="preserve">на </w:t>
      </w:r>
      <w:r>
        <w:rPr>
          <w:rFonts w:ascii="Arial Narrow" w:hAnsi="Arial Narrow" w:cs="Arial"/>
          <w:color w:val="000000" w:themeColor="text1"/>
          <w:sz w:val="26"/>
          <w:szCs w:val="26"/>
          <w:highlight w:val="none"/>
        </w:rPr>
        <w:t xml:space="preserve">у</w:t>
      </w:r>
      <w:r>
        <w:rPr>
          <w:rFonts w:ascii="Arial Narrow" w:hAnsi="Arial Narrow" w:cs="Arial"/>
          <w:color w:val="000000" w:themeColor="text1"/>
          <w:sz w:val="26"/>
          <w:szCs w:val="26"/>
          <w:highlight w:val="none"/>
        </w:rPr>
        <w:t xml:space="preserve">частке строящейся скоростной автомобильной трассы М-12 «Восток» - </w:t>
      </w:r>
      <w:r>
        <w:rPr>
          <w:rFonts w:ascii="Arial Narrow" w:hAnsi="Arial Narrow" w:eastAsia="Arial Narrow" w:cs="Arial Narrow"/>
          <w:b w:val="0"/>
          <w:bCs w:val="0"/>
          <w:sz w:val="26"/>
          <w:szCs w:val="26"/>
          <w:highlight w:val="none"/>
          <w14:ligatures w14:val="none"/>
        </w:rPr>
        <w:t xml:space="preserve">автодороге «</w:t>
      </w:r>
      <w:r>
        <w:rPr>
          <w:rFonts w:ascii="Arial Narrow" w:hAnsi="Arial Narrow" w:cs="Arial"/>
          <w:color w:val="000000" w:themeColor="text1"/>
          <w:sz w:val="26"/>
          <w:szCs w:val="26"/>
          <w:highlight w:val="none"/>
        </w:rPr>
        <w:t xml:space="preserve">Екатеринбург-</w:t>
      </w:r>
      <w:r>
        <w:rPr>
          <w:rFonts w:ascii="Arial Narrow" w:hAnsi="Arial Narrow" w:cs="Arial"/>
          <w:color w:val="000000" w:themeColor="text1"/>
          <w:sz w:val="26"/>
          <w:szCs w:val="26"/>
          <w:highlight w:val="none"/>
        </w:rPr>
        <w:t xml:space="preserve">Тюмень»</w:t>
      </w:r>
      <w:r>
        <w:rPr>
          <w:rFonts w:ascii="Arial Narrow" w:hAnsi="Arial Narrow" w:eastAsia="Arial Narrow" w:cs="Arial Narrow"/>
          <w:b w:val="0"/>
          <w:bCs w:val="0"/>
          <w:sz w:val="26"/>
          <w:szCs w:val="26"/>
          <w:highlight w:val="none"/>
          <w14:ligatures w14:val="none"/>
        </w:rPr>
        <w:t xml:space="preserve">.</w:t>
      </w:r>
      <w:r>
        <w:rPr>
          <w:rFonts w:ascii="Arial Narrow" w:hAnsi="Arial Narrow" w:cs="Arial"/>
          <w:sz w:val="26"/>
          <w:szCs w:val="26"/>
          <w:highlight w:val="none"/>
        </w:rPr>
      </w:r>
      <w:r>
        <w:rPr>
          <w:rFonts w:ascii="Arial Narrow" w:hAnsi="Arial Narrow" w:cs="Arial"/>
          <w:sz w:val="26"/>
          <w:szCs w:val="26"/>
          <w:highlight w:val="none"/>
        </w:rPr>
      </w:r>
    </w:p>
    <w:p>
      <w:pPr>
        <w:contextualSpacing/>
        <w:ind w:left="-142" w:firstLine="851"/>
        <w:jc w:val="both"/>
        <w:rPr>
          <w:rFonts w:ascii="Arial Narrow" w:hAnsi="Arial Narrow" w:cs="Arial"/>
          <w:sz w:val="26"/>
          <w:szCs w:val="26"/>
          <w:highlight w:val="none"/>
        </w:rPr>
        <w:suppressLineNumbers w:val="0"/>
      </w:pPr>
      <w:r>
        <w:rPr>
          <w:rFonts w:ascii="Arial Narrow" w:hAnsi="Arial Narrow" w:cs="Arial"/>
          <w:sz w:val="26"/>
          <w:szCs w:val="26"/>
          <w:highlight w:val="none"/>
        </w:rPr>
        <w:t xml:space="preserve">Энергетики построили участок линии электропередачи (ЛЭП) 10 кВ</w:t>
      </w:r>
      <w:r>
        <w:rPr>
          <w:rFonts w:ascii="Arial Narrow" w:hAnsi="Arial Narrow" w:cs="Arial"/>
          <w:sz w:val="26"/>
          <w:szCs w:val="26"/>
          <w:highlight w:val="none"/>
          <w:shd w:val="clear" w:color="ffffff" w:themeColor="background1" w:fill="ffffff" w:themeFill="background1"/>
        </w:rPr>
        <w:t xml:space="preserve"> </w:t>
      </w:r>
      <w:r>
        <w:rPr>
          <w:rFonts w:ascii="Arial Narrow" w:hAnsi="Arial Narrow" w:cs="Arial"/>
          <w:sz w:val="26"/>
          <w:szCs w:val="26"/>
          <w:highlight w:val="none"/>
          <w:shd w:val="clear" w:color="ffffff" w:themeColor="background1" w:fill="ffffff" w:themeFill="background1"/>
        </w:rPr>
        <w:t xml:space="preserve">с использованием самонесущего изолированного провода (СИП).</w:t>
      </w:r>
      <w:r>
        <w:rPr>
          <w:rFonts w:ascii="Arial Narrow" w:hAnsi="Arial Narrow" w:cs="Arial"/>
          <w:sz w:val="26"/>
          <w:szCs w:val="26"/>
          <w:highlight w:val="none"/>
          <w:shd w:val="clear" w:color="ffffff" w:themeColor="background1" w:fill="ffffff" w:themeFill="background1"/>
        </w:rPr>
        <w:t xml:space="preserve"> СИП</w:t>
      </w:r>
      <w:r>
        <w:rPr>
          <w:rFonts w:ascii="Arial Narrow" w:hAnsi="Arial Narrow" w:cs="Arial"/>
          <w:sz w:val="26"/>
          <w:szCs w:val="26"/>
          <w:highlight w:val="none"/>
        </w:rPr>
        <w:t xml:space="preserve"> обладает улучшенным</w:t>
      </w:r>
      <w:r>
        <w:rPr>
          <w:rFonts w:ascii="Arial Narrow" w:hAnsi="Arial Narrow" w:cs="Arial"/>
          <w:sz w:val="26"/>
          <w:szCs w:val="26"/>
          <w:highlight w:val="none"/>
        </w:rPr>
        <w:t xml:space="preserve">и эксплуатационными характеристиками и высоким уровнем безопасности, а также</w:t>
      </w:r>
      <w:r>
        <w:rPr>
          <w:rFonts w:ascii="Arial Narrow" w:hAnsi="Arial Narrow" w:eastAsia="Arial Narrow" w:cs="Arial Narrow"/>
          <w:i w:val="0"/>
          <w:iCs w:val="0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Arial Narrow" w:hAnsi="Arial Narrow" w:eastAsia="Arial Narrow" w:cs="Arial Narrow"/>
          <w:i w:val="0"/>
          <w:iCs w:val="0"/>
          <w:color w:val="000000" w:themeColor="text1"/>
          <w:sz w:val="26"/>
          <w:szCs w:val="26"/>
          <w:highlight w:val="none"/>
        </w:rPr>
        <w:t xml:space="preserve">более 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устойчив к 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работе в 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сложны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х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 погодны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х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 условия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х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, благодаря чему ниже риски 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технологических нарушений</w:t>
      </w:r>
      <w:r>
        <w:rPr>
          <w:rFonts w:ascii="Arial Narrow" w:hAnsi="Arial Narrow" w:eastAsia="Arial Narrow" w:cs="Arial Narrow"/>
          <w:bCs w:val="0"/>
          <w:i w:val="0"/>
          <w:color w:val="000000" w:themeColor="text1"/>
          <w:sz w:val="26"/>
          <w:szCs w:val="26"/>
          <w:highlight w:val="none"/>
        </w:rPr>
        <w:t xml:space="preserve">. </w:t>
      </w:r>
      <w:r>
        <w:rPr>
          <w:rFonts w:ascii="Arial Narrow" w:hAnsi="Arial Narrow" w:cs="Arial"/>
          <w:sz w:val="26"/>
          <w:szCs w:val="26"/>
          <w:highlight w:val="none"/>
        </w:rPr>
        <w:t xml:space="preserve">Также специалисты установили комплектную трансформаторную подстанцию мощностью 630 кВА и смонтировали разъединитель.</w:t>
      </w:r>
      <w:r>
        <w:rPr>
          <w:rFonts w:ascii="Arial Narrow" w:hAnsi="Arial Narrow" w:cs="Arial"/>
          <w:sz w:val="26"/>
          <w:szCs w:val="26"/>
          <w:highlight w:val="none"/>
        </w:rPr>
        <w:t xml:space="preserve"> Данные работы выполнялись в рамках нетарифной услуги</w:t>
      </w:r>
      <w:r>
        <w:rPr>
          <w:rFonts w:ascii="Arial Narrow" w:hAnsi="Arial Narrow" w:cs="Arial"/>
          <w:sz w:val="26"/>
          <w:szCs w:val="26"/>
          <w:highlight w:val="none"/>
        </w:rPr>
        <w:t xml:space="preserve"> компании «Россети Урал»</w:t>
      </w:r>
      <w:r>
        <w:rPr>
          <w:rFonts w:ascii="Arial Narrow" w:hAnsi="Arial Narrow" w:cs="Arial"/>
          <w:sz w:val="26"/>
          <w:szCs w:val="26"/>
          <w:highlight w:val="none"/>
        </w:rPr>
        <w:t xml:space="preserve"> «ТП под ключ». </w:t>
      </w:r>
      <w:r>
        <w:rPr>
          <w:rFonts w:ascii="Arial Narrow" w:hAnsi="Arial Narrow" w:cs="Arial"/>
          <w:sz w:val="26"/>
          <w:szCs w:val="26"/>
          <w:highlight w:val="none"/>
        </w:rPr>
      </w:r>
      <w:r>
        <w:rPr>
          <w:rFonts w:ascii="Arial Narrow" w:hAnsi="Arial Narrow" w:cs="Arial"/>
          <w:sz w:val="26"/>
          <w:szCs w:val="26"/>
          <w:highlight w:val="none"/>
        </w:rPr>
      </w:r>
    </w:p>
    <w:p>
      <w:pPr>
        <w:contextualSpacing/>
        <w:ind w:left="-142" w:firstLine="851"/>
        <w:jc w:val="both"/>
        <w:rPr>
          <w:highlight w:val="none"/>
        </w:rPr>
        <w:suppressLineNumbers w:val="0"/>
      </w:pPr>
      <w:r>
        <w:rPr>
          <w:rFonts w:ascii="Arial Narrow" w:hAnsi="Arial Narrow" w:cs="Arial"/>
          <w:sz w:val="26"/>
          <w:szCs w:val="26"/>
          <w:highlight w:val="none"/>
        </w:rPr>
        <w:t xml:space="preserve">Эти и другие мероприятия позволили обеспечить заявителю запрашиваемую мощность 450  кВт.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left="-142" w:firstLine="851"/>
        <w:jc w:val="both"/>
        <w:rPr>
          <w:rFonts w:ascii="Arial Narrow" w:hAnsi="Arial Narrow" w:cs="Arial Narrow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Arial Narrow" w:hAnsi="Arial Narrow" w:eastAsia="Arial Narrow" w:cs="Arial Narrow"/>
          <w:b w:val="0"/>
          <w:bCs w:val="0"/>
          <w:color w:val="000000" w:themeColor="text1"/>
          <w:sz w:val="26"/>
          <w:szCs w:val="26"/>
          <w:highlight w:val="white"/>
        </w:rPr>
        <w:t xml:space="preserve">Передвижной</w:t>
      </w:r>
      <w:r>
        <w:rPr>
          <w:rFonts w:ascii="Arial Narrow" w:hAnsi="Arial Narrow" w:eastAsia="Arial Narrow" w:cs="Arial Narrow"/>
          <w:b w:val="0"/>
          <w:bCs w:val="0"/>
          <w:color w:val="000000" w:themeColor="text1"/>
          <w:sz w:val="26"/>
          <w:szCs w:val="26"/>
          <w:highlight w:val="white"/>
        </w:rPr>
        <w:t xml:space="preserve"> завод</w:t>
      </w:r>
      <w:r>
        <w:rPr>
          <w:rFonts w:ascii="Arial Narrow" w:hAnsi="Arial Narrow" w:eastAsia="Arial Narrow" w:cs="Arial Narrow"/>
          <w:color w:val="000000" w:themeColor="text1"/>
          <w:sz w:val="26"/>
          <w:szCs w:val="26"/>
          <w:highlight w:val="white"/>
        </w:rPr>
        <w:t xml:space="preserve"> – это особый тип мобильных АБЗ, которые размещаются в непосредственной близости от объекта строительства или ремонта дороги. Их главная задача </w:t>
      </w:r>
      <w:r>
        <w:rPr>
          <w:rFonts w:ascii="Arial Narrow" w:hAnsi="Arial Narrow" w:eastAsia="Arial Narrow" w:cs="Arial Narrow"/>
          <w:color w:val="000000" w:themeColor="text1"/>
          <w:sz w:val="26"/>
          <w:szCs w:val="26"/>
          <w:highlight w:val="white"/>
        </w:rPr>
        <w:t xml:space="preserve">–</w:t>
      </w:r>
      <w:r>
        <w:rPr>
          <w:rFonts w:ascii="Arial Narrow" w:hAnsi="Arial Narrow" w:eastAsia="Arial Narrow" w:cs="Arial Narrow"/>
          <w:color w:val="000000" w:themeColor="text1"/>
          <w:sz w:val="26"/>
          <w:szCs w:val="26"/>
          <w:highlight w:val="white"/>
        </w:rPr>
        <w:t xml:space="preserve"> обеспечить</w:t>
      </w:r>
      <w:r>
        <w:rPr>
          <w:rFonts w:ascii="Arial Narrow" w:hAnsi="Arial Narrow" w:eastAsia="Arial Narrow" w:cs="Arial Narrow"/>
          <w:b w:val="0"/>
          <w:bCs w:val="0"/>
          <w:color w:val="000000" w:themeColor="text1"/>
          <w:sz w:val="26"/>
          <w:szCs w:val="26"/>
          <w:highlight w:val="white"/>
        </w:rPr>
        <w:t xml:space="preserve"> </w:t>
      </w:r>
      <w:r>
        <w:rPr>
          <w:rFonts w:ascii="Arial Narrow" w:hAnsi="Arial Narrow" w:eastAsia="Arial Narrow" w:cs="Arial Narrow"/>
          <w:b w:val="0"/>
          <w:bCs w:val="0"/>
          <w:color w:val="000000" w:themeColor="text1"/>
          <w:sz w:val="26"/>
          <w:szCs w:val="26"/>
          <w:highlight w:val="white"/>
        </w:rPr>
        <w:t xml:space="preserve">бесперебойную и оперативную подачу горячей смеси прямо на участок </w:t>
      </w:r>
      <w:r>
        <w:rPr>
          <w:rFonts w:ascii="Arial Narrow" w:hAnsi="Arial Narrow" w:eastAsia="Arial Narrow" w:cs="Arial Narrow"/>
          <w:b w:val="0"/>
          <w:bCs w:val="0"/>
          <w:color w:val="000000" w:themeColor="text1"/>
          <w:sz w:val="26"/>
          <w:szCs w:val="26"/>
          <w:highlight w:val="white"/>
        </w:rPr>
        <w:t xml:space="preserve">укладки</w:t>
      </w:r>
      <w:r>
        <w:rPr>
          <w:rFonts w:ascii="Arial Narrow" w:hAnsi="Arial Narrow" w:eastAsia="Arial Narrow" w:cs="Arial Narrow"/>
          <w:b w:val="0"/>
          <w:bCs w:val="0"/>
          <w:color w:val="000000" w:themeColor="text1"/>
          <w:sz w:val="26"/>
          <w:szCs w:val="26"/>
          <w:highlight w:val="white"/>
        </w:rPr>
        <w:t xml:space="preserve">, что</w:t>
      </w:r>
      <w:r>
        <w:rPr>
          <w:rFonts w:ascii="Arial Narrow" w:hAnsi="Arial Narrow" w:eastAsia="Arial Narrow" w:cs="Arial Narrow"/>
          <w:b w:val="0"/>
          <w:bCs w:val="0"/>
          <w:color w:val="000000" w:themeColor="text1"/>
          <w:sz w:val="26"/>
          <w:szCs w:val="26"/>
          <w:highlight w:val="white"/>
        </w:rPr>
        <w:t xml:space="preserve"> очень важно</w:t>
      </w:r>
      <w:r>
        <w:rPr>
          <w:rFonts w:ascii="Arial Narrow" w:hAnsi="Arial Narrow" w:eastAsia="Arial Narrow" w:cs="Arial Narrow"/>
          <w:b w:val="0"/>
          <w:bCs w:val="0"/>
          <w:color w:val="000000" w:themeColor="text1"/>
          <w:sz w:val="26"/>
          <w:szCs w:val="26"/>
          <w:highlight w:val="white"/>
        </w:rPr>
        <w:t xml:space="preserve"> </w:t>
      </w:r>
      <w:r>
        <w:rPr>
          <w:rFonts w:ascii="Arial Narrow" w:hAnsi="Arial Narrow" w:eastAsia="Arial Narrow" w:cs="Arial Narrow"/>
          <w:color w:val="000000" w:themeColor="text1"/>
          <w:sz w:val="26"/>
          <w:szCs w:val="26"/>
          <w:highlight w:val="none"/>
        </w:rPr>
        <w:t xml:space="preserve">при </w:t>
      </w:r>
      <w:r>
        <w:rPr>
          <w:rFonts w:ascii="Arial Narrow" w:hAnsi="Arial Narrow" w:eastAsia="Arial Narrow" w:cs="Arial Narrow"/>
          <w:color w:val="000000" w:themeColor="text1"/>
          <w:sz w:val="26"/>
          <w:szCs w:val="26"/>
          <w:highlight w:val="none"/>
        </w:rPr>
        <w:t xml:space="preserve">производстве таких работ</w:t>
      </w:r>
      <w:r>
        <w:rPr>
          <w:rFonts w:ascii="Arial Narrow" w:hAnsi="Arial Narrow" w:eastAsia="Arial Narrow" w:cs="Arial Narrow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Arial Narrow" w:hAnsi="Arial Narrow" w:eastAsia="Arial Narrow" w:cs="Arial Narrow"/>
          <w:color w:val="000000" w:themeColor="text1"/>
          <w:sz w:val="26"/>
          <w:szCs w:val="26"/>
          <w:highlight w:val="none"/>
        </w:rPr>
        <w:t xml:space="preserve">на автодороге, имеющей федеральное значение. </w:t>
      </w:r>
      <w:r>
        <w:rPr>
          <w:rFonts w:ascii="Arial Narrow" w:hAnsi="Arial Narrow" w:cs="Arial Narrow"/>
          <w:color w:val="000000" w:themeColor="text1"/>
          <w:sz w:val="26"/>
          <w:szCs w:val="26"/>
          <w:highlight w:val="none"/>
        </w:rPr>
      </w:r>
      <w:r>
        <w:rPr>
          <w:rFonts w:ascii="Arial Narrow" w:hAnsi="Arial Narrow" w:cs="Arial Narrow"/>
          <w:color w:val="000000" w:themeColor="text1"/>
          <w:sz w:val="26"/>
          <w:szCs w:val="26"/>
          <w:highlight w:val="none"/>
        </w:rPr>
      </w:r>
    </w:p>
    <w:p>
      <w:pPr>
        <w:contextualSpacing/>
        <w:ind w:left="-142" w:firstLine="851"/>
        <w:jc w:val="both"/>
        <w:rPr>
          <w:rFonts w:ascii="Arial Narrow" w:hAnsi="Arial Narrow" w:cs="Arial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Arial Narrow" w:hAnsi="Arial Narrow" w:cs="Arial"/>
          <w:color w:val="000000" w:themeColor="text1"/>
          <w:sz w:val="26"/>
          <w:szCs w:val="26"/>
        </w:rPr>
        <w:t xml:space="preserve">Автодорога «Екатеринбург-</w:t>
      </w:r>
      <w:r>
        <w:rPr>
          <w:rFonts w:ascii="Arial Narrow" w:hAnsi="Arial Narrow" w:cs="Arial"/>
          <w:color w:val="000000" w:themeColor="text1"/>
          <w:sz w:val="26"/>
          <w:szCs w:val="26"/>
        </w:rPr>
        <w:t xml:space="preserve">Тюмень» входит в со</w:t>
      </w:r>
      <w:r>
        <w:rPr>
          <w:rFonts w:ascii="Arial Narrow" w:hAnsi="Arial Narrow" w:cs="Arial"/>
          <w:color w:val="000000" w:themeColor="text1"/>
          <w:sz w:val="26"/>
          <w:szCs w:val="26"/>
        </w:rPr>
        <w:t xml:space="preserve">став</w:t>
      </w:r>
      <w:r>
        <w:rPr>
          <w:rFonts w:ascii="Arial Narrow" w:hAnsi="Arial Narrow" w:cs="Arial"/>
          <w:color w:val="000000" w:themeColor="text1"/>
          <w:sz w:val="26"/>
          <w:szCs w:val="26"/>
        </w:rPr>
        <w:t xml:space="preserve"> международного транспортного коридора «Запад </w:t>
      </w:r>
      <w:r>
        <w:rPr>
          <w:rFonts w:ascii="Arial Narrow" w:hAnsi="Arial Narrow" w:eastAsia="Arial Narrow" w:cs="Arial Narrow"/>
          <w:color w:val="000000" w:themeColor="text1"/>
          <w:sz w:val="26"/>
          <w:szCs w:val="26"/>
          <w:highlight w:val="white"/>
        </w:rPr>
        <w:t xml:space="preserve">–</w:t>
      </w:r>
      <w:r>
        <w:rPr>
          <w:rFonts w:ascii="Arial Narrow" w:hAnsi="Arial Narrow" w:eastAsia="Arial Narrow" w:cs="Arial Narrow"/>
          <w:color w:val="000000" w:themeColor="text1"/>
          <w:sz w:val="26"/>
          <w:szCs w:val="26"/>
          <w:highlight w:val="white"/>
        </w:rPr>
        <w:t xml:space="preserve"> </w:t>
      </w:r>
      <w:r>
        <w:rPr>
          <w:rFonts w:ascii="Arial Narrow" w:hAnsi="Arial Narrow" w:cs="Arial"/>
          <w:color w:val="000000" w:themeColor="text1"/>
          <w:sz w:val="26"/>
          <w:szCs w:val="26"/>
        </w:rPr>
        <w:t xml:space="preserve">Восток». Масштабный капитальный ремонт дорожной автомагистрали позволит не только значительно повысить уровень безопасности дорожного движения, но и увеличить грузопоток, придать импульс развитию территорий.</w:t>
      </w:r>
      <w:r>
        <w:rPr>
          <w:rFonts w:ascii="Arial Narrow" w:hAnsi="Arial Narrow" w:cs="Arial"/>
          <w:color w:val="000000" w:themeColor="text1"/>
          <w:sz w:val="26"/>
          <w:szCs w:val="26"/>
          <w:highlight w:val="none"/>
        </w:rPr>
      </w:r>
      <w:r>
        <w:rPr>
          <w:rFonts w:ascii="Arial Narrow" w:hAnsi="Arial Narrow" w:cs="Arial"/>
          <w:color w:val="000000" w:themeColor="text1"/>
          <w:sz w:val="26"/>
          <w:szCs w:val="26"/>
          <w:highlight w:val="none"/>
        </w:rPr>
      </w:r>
    </w:p>
    <w:p>
      <w:pPr>
        <w:contextualSpacing/>
        <w:ind w:left="-142" w:firstLine="851"/>
        <w:jc w:val="both"/>
        <w:rPr>
          <w:rFonts w:ascii="Arial Narrow" w:hAnsi="Arial Narrow" w:cs="Arial"/>
          <w:sz w:val="26"/>
          <w:szCs w:val="26"/>
          <w:highlight w:val="none"/>
        </w:rPr>
        <w:suppressLineNumbers w:val="0"/>
      </w:pPr>
      <w:r>
        <w:rPr>
          <w:rFonts w:ascii="Arial Narrow" w:hAnsi="Arial Narrow" w:cs="Arial"/>
          <w:sz w:val="26"/>
          <w:szCs w:val="26"/>
          <w:highlight w:val="none"/>
        </w:rPr>
      </w:r>
      <w:r>
        <w:rPr>
          <w:rFonts w:ascii="Arial Narrow" w:hAnsi="Arial Narrow" w:cs="Arial"/>
          <w:sz w:val="26"/>
          <w:szCs w:val="26"/>
          <w:highlight w:val="none"/>
        </w:rPr>
      </w:r>
      <w:r>
        <w:rPr>
          <w:rFonts w:ascii="Arial Narrow" w:hAnsi="Arial Narrow" w:cs="Arial"/>
          <w:sz w:val="26"/>
          <w:szCs w:val="26"/>
          <w:highlight w:val="none"/>
        </w:rPr>
      </w:r>
    </w:p>
    <w:tbl>
      <w:tblPr>
        <w:tblW w:w="9498" w:type="dxa"/>
        <w:tblInd w:w="-142" w:type="dxa"/>
        <w:tblBorders>
          <w:top w:val="single" w:color="auto" w:sz="4" w:space="0"/>
          <w:insideH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>
        <w:tblPrEx/>
        <w:trPr>
          <w:trHeight w:val="783"/>
        </w:trPr>
        <w:tc>
          <w:tcPr>
            <w:shd w:val="clear" w:color="auto" w:fill="auto"/>
            <w:tcMar>
              <w:top w:w="284" w:type="dxa"/>
            </w:tcMar>
            <w:tcW w:w="9498" w:type="dxa"/>
            <w:textDirection w:val="lrTb"/>
            <w:noWrap w:val="false"/>
          </w:tcPr>
          <w:p>
            <w:pPr>
              <w:ind w:left="3"/>
              <w:jc w:val="both"/>
              <w:spacing w:after="0" w:line="240" w:lineRule="auto"/>
            </w:pPr>
            <w:r>
              <w:rPr>
                <w:rFonts w:ascii="Arial Narrow" w:hAnsi="Arial Narrow"/>
              </w:rPr>
              <w:t xml:space="preserve">Г</w:t>
            </w:r>
            <w:r>
              <w:rPr>
                <w:rFonts w:ascii="Arial Narrow" w:hAnsi="Arial Narrow"/>
              </w:rPr>
              <w:t xml:space="preserve">руппа «Россети» – один из крупнейших в мире электросетевых холдингов, обеспечивающий электроснабжение потребителей в 82 регионах России. В управлении находятся 2,6 млн км линий электропередачи и электрические подстанции общей мощностью 900 тыс. МВА. По сет</w:t>
            </w:r>
            <w:r>
              <w:rPr>
                <w:rFonts w:ascii="Arial Narrow" w:hAnsi="Arial Narrow"/>
              </w:rPr>
              <w:t xml:space="preserve">ям Группы «Россети» передается 80% всей вырабатываемой в стране электроэнергии.</w:t>
            </w:r>
            <w:r/>
          </w:p>
          <w:p>
            <w:pPr>
              <w:ind w:left="3"/>
              <w:jc w:val="both"/>
              <w:spacing w:after="0" w:line="240" w:lineRule="auto"/>
            </w:pPr>
            <w:r>
              <w:rPr>
                <w:rFonts w:ascii="Arial Narrow" w:hAnsi="Arial Narrow"/>
              </w:rPr>
              <w:t xml:space="preserve">В состав Группы входят 39 дочерних и зависимых обществ, в том числе 17 сетевых компаний. Общая численность персонала составляет порядка 235 тыс. человек.</w:t>
            </w:r>
            <w:r/>
          </w:p>
          <w:p>
            <w:pPr>
              <w:ind w:left="3"/>
              <w:jc w:val="both"/>
              <w:spacing w:after="0" w:line="240" w:lineRule="auto"/>
            </w:pPr>
            <w:r>
              <w:rPr>
                <w:rFonts w:ascii="Arial Narrow" w:hAnsi="Arial Narrow"/>
              </w:rPr>
              <w:t xml:space="preserve">Контролирующим акционером материнской компании – ПАО «Россети» – является государство в лице Федерального агентства по управлению государственным имуществом.</w:t>
            </w:r>
            <w:r/>
          </w:p>
          <w:p>
            <w:pPr>
              <w:ind w:left="3"/>
              <w:jc w:val="both"/>
              <w:spacing w:after="0" w:line="240" w:lineRule="auto"/>
            </w:pPr>
            <w:r>
              <w:rPr>
                <w:rFonts w:ascii="Arial Narrow" w:hAnsi="Arial Narrow"/>
              </w:rPr>
              <w:t xml:space="preserve"> </w:t>
            </w:r>
            <w:r/>
          </w:p>
          <w:p>
            <w:pPr>
              <w:ind w:left="3"/>
              <w:jc w:val="both"/>
              <w:spacing w:after="0" w:line="240" w:lineRule="auto"/>
            </w:pPr>
            <w:r>
              <w:rPr>
                <w:rFonts w:ascii="Arial Narrow" w:hAnsi="Arial Narrow"/>
              </w:rPr>
              <w:t xml:space="preserve">«Россети» в MAКС</w:t>
            </w:r>
            <w:r/>
          </w:p>
          <w:p>
            <w:pPr>
              <w:ind w:left="3"/>
              <w:jc w:val="both"/>
              <w:spacing w:after="0" w:line="240" w:lineRule="auto"/>
            </w:pPr>
            <w:r>
              <w:rPr>
                <w:rFonts w:ascii="Arial Narrow" w:hAnsi="Arial Narrow"/>
              </w:rPr>
              <w:t xml:space="preserve"> </w:t>
            </w:r>
            <w:r/>
          </w:p>
          <w:p>
            <w:pPr>
              <w:ind w:left="3"/>
              <w:jc w:val="both"/>
              <w:spacing w:after="0" w:line="240" w:lineRule="auto"/>
            </w:pPr>
            <w:r>
              <w:rPr>
                <w:rFonts w:ascii="Arial Narrow" w:hAnsi="Arial Narrow"/>
              </w:rPr>
              <w:t xml:space="preserve">«</w:t>
            </w:r>
            <w:r>
              <w:rPr>
                <w:rFonts w:ascii="Arial Narrow" w:hAnsi="Arial Narrow"/>
              </w:rPr>
              <w:t xml:space="preserve">Россети Урал» является дочерним обществом ПАО «Россети», осуществляющим распределение электроэнергии на территории Свердловской, Челябинской областей и Пермского края. «Россети Урал» - единая операционная компания Уральского региона. Крупнейшая электросете</w:t>
            </w:r>
            <w:r>
              <w:rPr>
                <w:rFonts w:ascii="Arial Narrow" w:hAnsi="Arial Narrow"/>
              </w:rPr>
              <w:t xml:space="preserve">вая компания Урала и Прикамья. Производственный потенциал группы «Россети Урал» состоит из 46,2 тыс. подстанций общей мощностью порядка 46,1 ГВА, протяженность воздушных и кабельных линий электропередачи – более 162,9 тыс. км.</w:t>
            </w:r>
            <w:r/>
          </w:p>
          <w:p>
            <w:pPr>
              <w:ind w:left="3"/>
              <w:jc w:val="both"/>
              <w:spacing w:after="0" w:line="240" w:lineRule="auto"/>
            </w:pPr>
            <w:r>
              <w:rPr>
                <w:rFonts w:ascii="Arial Narrow" w:hAnsi="Arial Narrow"/>
              </w:rPr>
              <w:t xml:space="preserve">Общая площадь территории деятельности – 442,9 тыс. кв. км с населением более 10 млн. человек. Численность персонала в сетевом хозяйстве – порядка 15 тыс. человек.</w:t>
            </w:r>
            <w:r/>
          </w:p>
          <w:p>
            <w:pPr>
              <w:ind w:left="3"/>
              <w:jc w:val="both"/>
              <w:spacing w:after="0" w:line="240" w:lineRule="auto"/>
            </w:pPr>
            <w:r>
              <w:rPr>
                <w:rFonts w:ascii="Arial Narrow" w:hAnsi="Arial Narrow"/>
              </w:rPr>
              <w:t xml:space="preserve"> </w:t>
            </w:r>
            <w:r/>
          </w:p>
          <w:p>
            <w:pPr>
              <w:ind w:left="3"/>
              <w:jc w:val="both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«Россети Урал» в MAКС</w: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854" w:right="851" w:bottom="1134" w:left="1843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F Din Text Cond Pro Light">
    <w:panose1 w:val="02000000000000000000"/>
  </w:font>
  <w:font w:name="Segoe UI">
    <w:panose1 w:val="020B0502040204020203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3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pPr>
      <w:spacing w:after="200" w:line="276" w:lineRule="auto"/>
    </w:pPr>
    <w:rPr>
      <w:rFonts w:ascii="Calibri" w:hAnsi="Calibri" w:eastAsia="Calibri" w:cs="Times New Roman"/>
    </w:rPr>
  </w:style>
  <w:style w:type="character" w:styleId="833" w:default="1">
    <w:name w:val="Default Paragraph Font"/>
    <w:uiPriority w:val="1"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Normal (Web)"/>
    <w:basedOn w:val="83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37">
    <w:name w:val="Balloon Text"/>
    <w:basedOn w:val="832"/>
    <w:link w:val="83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8" w:customStyle="1">
    <w:name w:val="Текст выноски Знак"/>
    <w:basedOn w:val="833"/>
    <w:link w:val="837"/>
    <w:uiPriority w:val="99"/>
    <w:semiHidden/>
    <w:rPr>
      <w:rFonts w:ascii="Segoe UI" w:hAnsi="Segoe UI" w:eastAsia="Calibri" w:cs="Segoe UI"/>
      <w:sz w:val="18"/>
      <w:szCs w:val="18"/>
    </w:rPr>
  </w:style>
  <w:style w:type="character" w:styleId="839">
    <w:name w:val="Hyperlink"/>
    <w:basedOn w:val="833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МРСК Урала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Зудова Марина Леонидовна</dc:creator>
  <cp:keywords/>
  <dc:description/>
  <cp:lastModifiedBy>Lukoyanova-NV</cp:lastModifiedBy>
  <cp:revision>78</cp:revision>
  <dcterms:created xsi:type="dcterms:W3CDTF">2025-08-08T09:47:00Z</dcterms:created>
  <dcterms:modified xsi:type="dcterms:W3CDTF">2026-05-14T04:23:27Z</dcterms:modified>
</cp:coreProperties>
</file>