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/>
    <w:tbl>
      <w:tblPr>
        <w:tblStyle w:val="Style_3"/>
        <w:tblW w:type="auto" w:w="0"/>
        <w:tblInd w:type="dxa" w:w="-147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3628"/>
        <w:gridCol w:w="1759"/>
        <w:gridCol w:w="4331"/>
      </w:tblGrid>
      <w:t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0"/>
              <w:spacing w:line="240" w:lineRule="exact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Прокуратура</w:t>
            </w:r>
          </w:p>
          <w:p w14:paraId="08000000">
            <w:pPr>
              <w:widowControl w:val="0"/>
              <w:spacing w:line="240" w:lineRule="exact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Российской Федерации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9000000">
            <w:pPr>
              <w:rPr>
                <w:sz w:val="28"/>
              </w:rPr>
            </w:pPr>
          </w:p>
        </w:tc>
        <w:tc>
          <w:tcPr>
            <w:tcW w:type="dxa" w:w="4331"/>
            <w:vMerge w:val="restart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A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Главе Тугулымского муниципального округа</w:t>
            </w:r>
          </w:p>
          <w:p w14:paraId="0B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0C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Поздееву А.Н.</w:t>
            </w:r>
          </w:p>
          <w:p w14:paraId="0D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0E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rStyle w:val="Style_4_ch"/>
                <w:sz w:val="28"/>
              </w:rPr>
              <w:fldChar w:fldCharType="begin"/>
            </w:r>
            <w:r>
              <w:rPr>
                <w:rStyle w:val="Style_4_ch"/>
                <w:sz w:val="28"/>
              </w:rPr>
              <w:instrText>HYPERLINK "mailto:secretar@admtugmo.ru"</w:instrText>
            </w:r>
            <w:r>
              <w:rPr>
                <w:rStyle w:val="Style_4_ch"/>
                <w:sz w:val="28"/>
              </w:rPr>
              <w:fldChar w:fldCharType="separate"/>
            </w:r>
            <w:r>
              <w:rPr>
                <w:rStyle w:val="Style_4_ch"/>
                <w:sz w:val="28"/>
              </w:rPr>
              <w:t>secretar@admtugmo.ru</w:t>
            </w:r>
            <w:r>
              <w:rPr>
                <w:rStyle w:val="Style_4_ch"/>
                <w:sz w:val="28"/>
              </w:rPr>
              <w:fldChar w:fldCharType="end"/>
            </w:r>
            <w:r>
              <w:rPr>
                <w:sz w:val="28"/>
              </w:rPr>
              <w:t xml:space="preserve"> </w:t>
            </w:r>
          </w:p>
          <w:p w14:paraId="0F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0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 xml:space="preserve">Врио. начальника ОМВД </w:t>
            </w:r>
          </w:p>
          <w:p w14:paraId="11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России «</w:t>
            </w:r>
            <w:r>
              <w:rPr>
                <w:sz w:val="28"/>
              </w:rPr>
              <w:t>Тугулымский</w:t>
            </w:r>
            <w:r>
              <w:rPr>
                <w:sz w:val="28"/>
              </w:rPr>
              <w:t>»</w:t>
            </w:r>
          </w:p>
          <w:p w14:paraId="12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3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подполковнику полиции</w:t>
            </w:r>
          </w:p>
          <w:p w14:paraId="14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5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Тетерину С.В.</w:t>
            </w:r>
          </w:p>
          <w:p w14:paraId="16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7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 xml:space="preserve">ул. Ленина, д. 29, </w:t>
            </w:r>
            <w:r>
              <w:rPr>
                <w:sz w:val="28"/>
              </w:rPr>
              <w:t>п.г.т</w:t>
            </w:r>
            <w:r>
              <w:rPr>
                <w:sz w:val="28"/>
              </w:rPr>
              <w:t>. Тугулым, Свердловская область, 623650</w:t>
            </w:r>
          </w:p>
          <w:p w14:paraId="18000000">
            <w:pPr>
              <w:widowControl w:val="0"/>
              <w:spacing w:line="240" w:lineRule="exact"/>
              <w:ind/>
              <w:rPr>
                <w:sz w:val="28"/>
              </w:rPr>
            </w:pPr>
          </w:p>
        </w:tc>
      </w:tr>
      <w:t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9000000">
            <w:pPr>
              <w:widowControl w:val="0"/>
              <w:spacing w:before="12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Прокуратура</w:t>
            </w:r>
          </w:p>
          <w:p w14:paraId="1A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Свердловской области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B000000">
            <w:pPr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130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C000000">
            <w:pPr>
              <w:widowControl w:val="0"/>
              <w:spacing w:before="120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Прокуратура Тугулымского района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D000000">
            <w:pPr>
              <w:widowControl w:val="0"/>
              <w:spacing w:line="240" w:lineRule="exact"/>
              <w:ind/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E000000">
            <w:pPr>
              <w:widowControl w:val="0"/>
              <w:tabs>
                <w:tab w:leader="none" w:pos="3424" w:val="left"/>
              </w:tabs>
              <w:spacing w:before="113" w:line="240" w:lineRule="exact"/>
              <w:ind w:firstLine="0" w:left="-51" w:right="-119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ул. Молодежная, д. 3, </w:t>
            </w:r>
          </w:p>
          <w:p w14:paraId="1F000000">
            <w:pPr>
              <w:widowControl w:val="0"/>
              <w:tabs>
                <w:tab w:leader="none" w:pos="3424" w:val="left"/>
              </w:tabs>
              <w:spacing w:before="0" w:line="240" w:lineRule="exact"/>
              <w:ind w:firstLine="0" w:left="-51" w:right="-119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п.г.т. Тугулым, 623650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0000000">
            <w:pPr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45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1000000">
            <w:pPr>
              <w:widowControl w:val="0"/>
              <w:spacing w:line="120" w:lineRule="exact"/>
              <w:ind/>
              <w:jc w:val="center"/>
              <w:rPr>
                <w:sz w:val="12"/>
              </w:rPr>
            </w:pP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2000000">
            <w:pPr>
              <w:widowControl w:val="0"/>
              <w:spacing w:line="120" w:lineRule="exact"/>
              <w:ind/>
              <w:rPr>
                <w:sz w:val="12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270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3000000">
            <w:pPr>
              <w:rPr>
                <w:u w:val="single"/>
              </w:rPr>
            </w:pPr>
            <w:r>
              <w:rPr>
                <w:sz w:val="28"/>
                <w:u w:val="single"/>
              </w:rPr>
              <w:t xml:space="preserve">     . 04.2026</w:t>
            </w:r>
            <w:r>
              <w:rPr>
                <w:sz w:val="28"/>
                <w:u w:val="none"/>
              </w:rPr>
              <w:t xml:space="preserve">  №  </w:t>
            </w:r>
            <w:r>
              <w:rPr>
                <w:sz w:val="28"/>
                <w:u w:val="single"/>
              </w:rPr>
              <w:t>01-27-2026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4000000">
            <w:pPr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1016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5000000">
            <w:pPr>
              <w:widowControl w:val="0"/>
              <w:tabs>
                <w:tab w:leader="none" w:pos="1738" w:val="left"/>
              </w:tabs>
              <w:ind w:firstLine="0" w:left="-53"/>
              <w:rPr>
                <w:color w:themeColor="background1" w:themeShade="BF" w:val="BFBFBF"/>
                <w:sz w:val="8"/>
              </w:rPr>
            </w:pP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6000000">
            <w:pPr>
              <w:rPr>
                <w:sz w:val="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</w:tbl>
    <w:p w14:paraId="27000000">
      <w:pPr>
        <w:rPr>
          <w:sz w:val="28"/>
        </w:rPr>
      </w:pPr>
    </w:p>
    <w:p w14:paraId="28000000">
      <w:pPr>
        <w:widowControl w:val="0"/>
        <w:spacing w:after="0" w:before="0" w:line="240" w:lineRule="exact"/>
        <w:ind/>
        <w:jc w:val="both"/>
        <w:rPr>
          <w:sz w:val="28"/>
        </w:rPr>
      </w:pPr>
      <w:r>
        <w:rPr>
          <w:sz w:val="28"/>
        </w:rPr>
        <w:t>ИНФОРМАЦИЯ</w:t>
      </w:r>
    </w:p>
    <w:p w14:paraId="29000000">
      <w:pPr>
        <w:widowControl w:val="0"/>
        <w:spacing w:after="0" w:before="0" w:line="240" w:lineRule="exact"/>
        <w:ind/>
        <w:jc w:val="both"/>
        <w:rPr>
          <w:sz w:val="28"/>
        </w:rPr>
      </w:pPr>
      <w:r>
        <w:rPr>
          <w:sz w:val="28"/>
        </w:rPr>
        <w:t>для опубликования на официальном сайте Администрации Тугулымского муниципального округа,на сайте ОМВД и социальных сетях.</w:t>
      </w:r>
    </w:p>
    <w:p w14:paraId="2A000000">
      <w:pPr>
        <w:widowControl w:val="0"/>
        <w:spacing w:after="0" w:before="0" w:line="240" w:lineRule="exact"/>
        <w:ind/>
        <w:jc w:val="both"/>
        <w:rPr>
          <w:sz w:val="28"/>
        </w:rPr>
      </w:pPr>
    </w:p>
    <w:p w14:paraId="2B000000">
      <w:pPr>
        <w:widowControl w:val="0"/>
        <w:spacing w:after="170" w:line="264" w:lineRule="auto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Прокуратура Тугулымского района разъясняет! </w:t>
      </w:r>
      <w:r>
        <w:rPr>
          <w:rFonts w:ascii="Times New Roman" w:hAnsi="Times New Roman"/>
          <w:b w:val="1"/>
          <w:color w:val="333333"/>
          <w:sz w:val="28"/>
        </w:rPr>
        <w:t xml:space="preserve"> </w:t>
      </w:r>
    </w:p>
    <w:p w14:paraId="2C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Вступает в силу Закон о деятельности по предоставлению сервиса рассрочки </w:t>
      </w:r>
    </w:p>
    <w:p w14:paraId="2D000000">
      <w:pPr>
        <w:widowControl w:val="1"/>
        <w:ind/>
        <w:jc w:val="both"/>
        <w:rPr>
          <w:sz w:val="28"/>
        </w:rPr>
      </w:pPr>
    </w:p>
    <w:p w14:paraId="2E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Сервисом рассрочки является информационная система в Интернете, используемая для заключения с помощью информационных технологий и технических средств этой информационной системы договоров о предоставлении сервиса рассрочки. </w:t>
      </w:r>
    </w:p>
    <w:p w14:paraId="2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У</w:t>
      </w:r>
      <w:r>
        <w:rPr>
          <w:sz w:val="28"/>
        </w:rPr>
        <w:t xml:space="preserve">слуги по предоставлению сервиса рассрочки на основании соответствующего договора вправе оказывать только оператор сервиса рассрочки, сведения о котором внесены в реестр операторов сервиса рассрочки. </w:t>
      </w:r>
    </w:p>
    <w:p w14:paraId="30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Приобрести право на осуществление деятельности по предоставлению сервиса рассрочки могут кредитная, микрофинансовая организация или иное юридическое лицо, зарегистрированное в форме хозяйственного общества. </w:t>
      </w:r>
      <w:r>
        <w:rPr>
          <w:sz w:val="28"/>
        </w:rPr>
        <w:t>Запрещается совмещать деятельность оператора сервиса рассрочки с деятельностью некредитной финансовой организации, за исключением деятельности микрофинансовой организации.</w:t>
      </w:r>
    </w:p>
    <w:p w14:paraId="31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При осуществлении деятельности по предоставлению сервиса рассрочки должны быть соблюдены установленные условия. В частности, утверждены требования к деятельности по предоставлению сервиса рассрочки, а также требования к органам управления и акционерам (участникам) оператора сервиса рассрочки. Так, минимальный размер собственных средств (капитала) установлен в размере 5 млн рублей. </w:t>
      </w:r>
    </w:p>
    <w:p w14:paraId="32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Установлены обязанности оператора сервиса рассрочки и ограничения деятельности по предоставлению сервиса рассрочки. В частности, в определенных случаях оператор обязан передавать в бюро кредитных историй данные о заключенных договорах о предоставлении сервиса рассрочки. При этом оператор сервиса рассрочки не вправе привлекать денежные средства физических лиц, взимать с пользователя вознаграждение за оказание услуг по договору о предоставлении сервиса рассрочки или плату за исполнение пользователем обязательств по уплате цены такого договора. </w:t>
      </w:r>
    </w:p>
    <w:p w14:paraId="33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Также оператор сервиса рассрочки обязан утвердить правила предоставления указанного сервиса и разместить их в местах обслуживания пользователей и на своем сайте. </w:t>
      </w:r>
    </w:p>
    <w:p w14:paraId="34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Пользователем сервисом рассрочки признается гражданин, имеющий намерение заказать (приобрести) либо заказывающий (приобретающий) объект рассрочки исключительно для личных, семейных, домашних и иных нужд, не связанных с осуществлением предпринимательской деятельности, с использованием сервиса рассрочки. </w:t>
      </w:r>
    </w:p>
    <w:p w14:paraId="35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Банк России уполномочен осуществлять регулирование деятельности по предоставлению сервиса рассрочки, а также контроль и надзор за соблюдением операторами сервиса рассрочки установленных требований. Так, Банк России</w:t>
      </w:r>
      <w:r>
        <w:rPr>
          <w:sz w:val="28"/>
        </w:rPr>
        <w:t xml:space="preserve"> </w:t>
      </w:r>
      <w:r>
        <w:rPr>
          <w:sz w:val="28"/>
        </w:rPr>
        <w:t xml:space="preserve">ведет реестр операторов сервиса рассрочки и принимает решение о внесении (об отказе во внесении) сведений в указанный реестр. </w:t>
      </w:r>
    </w:p>
    <w:p w14:paraId="36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Действие нового Закона не распространяется на правоотношения, возникшие из договоров о предоставлении сервиса рассрочки, заключенных до 1 апреля 2026 года.</w:t>
      </w:r>
    </w:p>
    <w:p w14:paraId="37000000">
      <w:pPr>
        <w:widowControl w:val="1"/>
        <w:ind w:firstLine="709"/>
        <w:jc w:val="both"/>
        <w:rPr>
          <w:sz w:val="28"/>
        </w:rPr>
      </w:pPr>
    </w:p>
    <w:p w14:paraId="38000000">
      <w:pPr>
        <w:widowControl w:val="1"/>
        <w:ind/>
        <w:jc w:val="both"/>
        <w:rPr>
          <w:sz w:val="28"/>
        </w:rPr>
      </w:pPr>
    </w:p>
    <w:tbl>
      <w:tblPr>
        <w:tblStyle w:val="Style_3"/>
        <w:tblpPr w:bottomFromText="0" w:horzAnchor="margin" w:leftFromText="181" w:rightFromText="181" w:tblpXSpec="left" w:tblpY="46" w:topFromText="0" w:vertAnchor="text"/>
        <w:tblW w:type="auto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103"/>
        <w:gridCol w:w="4761"/>
      </w:tblGrid>
      <w:tr>
        <w:tc>
          <w:tcPr>
            <w:tcW w:type="dxa" w:w="5103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39000000">
            <w:pPr>
              <w:rPr>
                <w:sz w:val="28"/>
              </w:rPr>
            </w:pPr>
            <w:r>
              <w:rPr>
                <w:sz w:val="28"/>
              </w:rPr>
              <w:t xml:space="preserve">Прокурор района </w:t>
            </w:r>
          </w:p>
          <w:p w14:paraId="3A000000">
            <w:pPr>
              <w:rPr>
                <w:sz w:val="28"/>
              </w:rPr>
            </w:pPr>
          </w:p>
          <w:p w14:paraId="3B000000">
            <w:pPr>
              <w:rPr>
                <w:sz w:val="28"/>
              </w:rPr>
            </w:pPr>
            <w:r>
              <w:rPr>
                <w:sz w:val="28"/>
              </w:rPr>
              <w:t>советник юстиции</w:t>
            </w:r>
          </w:p>
        </w:tc>
        <w:tc>
          <w:tcPr>
            <w:tcW w:type="dxa" w:w="4761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3C000000">
            <w:pPr>
              <w:widowControl w:val="0"/>
              <w:ind/>
              <w:jc w:val="right"/>
              <w:rPr>
                <w:sz w:val="28"/>
              </w:rPr>
            </w:pPr>
            <w:r>
              <w:rPr>
                <w:sz w:val="28"/>
              </w:rPr>
              <w:t>А.Ю. Барахоев</w:t>
            </w:r>
          </w:p>
        </w:tc>
      </w:tr>
      <w:tr>
        <w:tc>
          <w:tcPr>
            <w:tcW w:type="dxa" w:w="9864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</w:tr>
    </w:tbl>
    <w:p w14:paraId="3D000000">
      <w:pPr>
        <w:rPr>
          <w:sz w:val="28"/>
        </w:rPr>
      </w:pPr>
    </w:p>
    <w:p w14:paraId="3E000000">
      <w:pPr>
        <w:widowControl w:val="0"/>
        <w:tabs>
          <w:tab w:leader="none" w:pos="1134" w:val="left"/>
        </w:tabs>
        <w:ind/>
      </w:pPr>
    </w:p>
    <w:sectPr>
      <w:headerReference r:id="rId1" w:type="default"/>
      <w:headerReference r:id="rId2" w:type="first"/>
      <w:headerReference r:id="rId3" w:type="even"/>
      <w:pgSz w:h="16838" w:orient="portrait" w:w="11906"/>
      <w:pgMar w:bottom="1247" w:footer="709" w:gutter="0" w:header="426" w:left="1418" w:right="62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  <w:r>
      <w:rPr>
        <w:sz w:val="24"/>
      </w:rPr>
      <w:drawing>
        <wp:anchor allowOverlap="true" behindDoc="true" distB="0" distL="114300" distR="114300" distT="0" layoutInCell="true" locked="false" relativeHeight="251658240" simplePos="false">
          <wp:simplePos x="0" y="0"/>
          <wp:positionH relativeFrom="column">
            <wp:posOffset>728345</wp:posOffset>
          </wp:positionH>
          <wp:positionV relativeFrom="paragraph">
            <wp:posOffset>-78409</wp:posOffset>
          </wp:positionV>
          <wp:extent cx="697230" cy="696595"/>
          <wp:effectExtent b="0" l="0" r="0" t="0"/>
          <wp:wrapNone/>
          <wp:docPr hidden="false" id="1" name="Picture 1"/>
          <a:graphic>
            <a:graphicData uri="http://schemas.openxmlformats.org/drawingml/2006/picture">
              <pic:pic>
                <pic:nvPicPr>
                  <pic:cNvPr hidden="false" id="2" name="Picture 2"/>
                  <pic:cNvPicPr preferRelativeResize="true"/>
                </pic:nvPicPr>
                <pic:blipFill>
                  <a:blip r:embed="rId1"/>
                  <a:srcRect b="17398" l="12921" r="13982" t="12894"/>
                  <a:stretch/>
                </pic:blipFill>
                <pic:spPr>
                  <a:xfrm flipH="false" flipV="false" rot="-21600000">
                    <a:ext cx="697230" cy="696595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0"/>
      <w:ind/>
      <w:jc w:val="center"/>
      <w:rPr>
        <w:rStyle w:val="Style_2_ch"/>
      </w:rPr>
    </w:pPr>
  </w:p>
  <w:p w14:paraId="05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0" w:uiPriority="9" w:unhideWhenUsed="0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Гиперссылка1"/>
    <w:link w:val="Style_6_ch"/>
    <w:rPr>
      <w:color w:val="0000FF"/>
      <w:u w:val="single"/>
    </w:rPr>
  </w:style>
  <w:style w:styleId="Style_6_ch" w:type="character">
    <w:name w:val="Гиперссылка1"/>
    <w:link w:val="Style_6"/>
    <w:rPr>
      <w:color w:val="0000FF"/>
      <w:u w:val="single"/>
    </w:rPr>
  </w:style>
  <w:style w:styleId="Style_7" w:type="paragraph">
    <w:name w:val="toc 2"/>
    <w:next w:val="Style_5"/>
    <w:link w:val="Style_7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annotation text"/>
    <w:basedOn w:val="Style_5"/>
    <w:link w:val="Style_9_ch"/>
    <w:rPr>
      <w:sz w:val="20"/>
    </w:rPr>
  </w:style>
  <w:style w:styleId="Style_9_ch" w:type="character">
    <w:name w:val="annotation text"/>
    <w:basedOn w:val="Style_5_ch"/>
    <w:link w:val="Style_9"/>
    <w:rPr>
      <w:sz w:val="20"/>
    </w:rPr>
  </w:style>
  <w:style w:styleId="Style_10" w:type="paragraph">
    <w:name w:val="toc 6"/>
    <w:next w:val="Style_5"/>
    <w:link w:val="Style_10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5"/>
    <w:link w:val="Style_11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basedOn w:val="Style_5"/>
    <w:next w:val="Style_5"/>
    <w:link w:val="Style_13_ch"/>
    <w:uiPriority w:val="9"/>
    <w:qFormat/>
    <w:pPr>
      <w:keepNext w:val="1"/>
      <w:widowControl w:val="0"/>
      <w:ind/>
      <w:jc w:val="both"/>
      <w:outlineLvl w:val="2"/>
    </w:pPr>
    <w:rPr>
      <w:sz w:val="28"/>
    </w:rPr>
  </w:style>
  <w:style w:styleId="Style_13_ch" w:type="character">
    <w:name w:val="heading 3"/>
    <w:basedOn w:val="Style_5_ch"/>
    <w:link w:val="Style_13"/>
    <w:rPr>
      <w:sz w:val="28"/>
    </w:rPr>
  </w:style>
  <w:style w:styleId="Style_14" w:type="paragraph">
    <w:name w:val="ConsNormal"/>
    <w:link w:val="Style_14_ch"/>
    <w:pPr>
      <w:widowControl w:val="0"/>
      <w:ind w:firstLine="720" w:left="0" w:right="19772"/>
    </w:pPr>
    <w:rPr>
      <w:rFonts w:ascii="Arial" w:hAnsi="Arial"/>
      <w:sz w:val="24"/>
    </w:rPr>
  </w:style>
  <w:style w:styleId="Style_14_ch" w:type="character">
    <w:name w:val="ConsNormal"/>
    <w:link w:val="Style_14"/>
    <w:rPr>
      <w:rFonts w:ascii="Arial" w:hAnsi="Arial"/>
      <w:sz w:val="24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Body Text 2"/>
    <w:basedOn w:val="Style_5"/>
    <w:link w:val="Style_16_ch"/>
    <w:pPr>
      <w:widowControl w:val="0"/>
      <w:spacing w:after="120" w:line="480" w:lineRule="auto"/>
      <w:ind/>
    </w:pPr>
  </w:style>
  <w:style w:styleId="Style_16_ch" w:type="character">
    <w:name w:val="Body Text 2"/>
    <w:basedOn w:val="Style_5_ch"/>
    <w:link w:val="Style_16"/>
  </w:style>
  <w:style w:styleId="Style_17" w:type="paragraph">
    <w:name w:val="Balloon Text"/>
    <w:basedOn w:val="Style_5"/>
    <w:link w:val="Style_17_ch"/>
    <w:rPr>
      <w:rFonts w:ascii="Tahoma" w:hAnsi="Tahoma"/>
      <w:sz w:val="16"/>
    </w:rPr>
  </w:style>
  <w:style w:styleId="Style_17_ch" w:type="character">
    <w:name w:val="Balloon Text"/>
    <w:basedOn w:val="Style_5_ch"/>
    <w:link w:val="Style_17"/>
    <w:rPr>
      <w:rFonts w:ascii="Tahoma" w:hAnsi="Tahoma"/>
      <w:sz w:val="16"/>
    </w:rPr>
  </w:style>
  <w:style w:styleId="Style_18" w:type="paragraph">
    <w:name w:val="Знак примечания1"/>
    <w:basedOn w:val="Style_19"/>
    <w:link w:val="Style_18_ch"/>
    <w:rPr>
      <w:sz w:val="16"/>
    </w:rPr>
  </w:style>
  <w:style w:styleId="Style_18_ch" w:type="character">
    <w:name w:val="Знак примечания1"/>
    <w:basedOn w:val="Style_19_ch"/>
    <w:link w:val="Style_18"/>
    <w:rPr>
      <w:sz w:val="16"/>
    </w:rPr>
  </w:style>
  <w:style w:styleId="Style_20" w:type="paragraph">
    <w:name w:val="toc 3"/>
    <w:next w:val="Style_5"/>
    <w:link w:val="Style_20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" w:type="paragraph">
    <w:name w:val="Номер страницы1"/>
    <w:basedOn w:val="Style_19"/>
    <w:link w:val="Style_2_ch"/>
  </w:style>
  <w:style w:styleId="Style_2_ch" w:type="character">
    <w:name w:val="Номер страницы1"/>
    <w:basedOn w:val="Style_19_ch"/>
    <w:link w:val="Style_2"/>
  </w:style>
  <w:style w:styleId="Style_21" w:type="paragraph">
    <w:name w:val="heading 5"/>
    <w:basedOn w:val="Style_5"/>
    <w:next w:val="Style_5"/>
    <w:link w:val="Style_21_ch"/>
    <w:uiPriority w:val="9"/>
    <w:qFormat/>
    <w:pPr>
      <w:keepNext w:val="1"/>
      <w:widowControl w:val="0"/>
      <w:ind/>
      <w:jc w:val="both"/>
      <w:outlineLvl w:val="4"/>
    </w:pPr>
    <w:rPr>
      <w:b w:val="1"/>
      <w:sz w:val="20"/>
    </w:rPr>
  </w:style>
  <w:style w:styleId="Style_21_ch" w:type="character">
    <w:name w:val="heading 5"/>
    <w:basedOn w:val="Style_5_ch"/>
    <w:link w:val="Style_21"/>
    <w:rPr>
      <w:b w:val="1"/>
      <w:sz w:val="20"/>
    </w:rPr>
  </w:style>
  <w:style w:styleId="Style_22" w:type="paragraph">
    <w:name w:val="ConsPlusNonformat"/>
    <w:link w:val="Style_22_ch"/>
    <w:pPr>
      <w:widowControl w:val="0"/>
      <w:ind/>
    </w:pPr>
    <w:rPr>
      <w:rFonts w:ascii="Courier New" w:hAnsi="Courier New"/>
    </w:rPr>
  </w:style>
  <w:style w:styleId="Style_22_ch" w:type="character">
    <w:name w:val="ConsPlusNonformat"/>
    <w:link w:val="Style_22"/>
    <w:rPr>
      <w:rFonts w:ascii="Courier New" w:hAnsi="Courier New"/>
    </w:rPr>
  </w:style>
  <w:style w:styleId="Style_23" w:type="paragraph">
    <w:name w:val="Normal (Web)"/>
    <w:basedOn w:val="Style_5"/>
    <w:link w:val="Style_23_ch"/>
    <w:pPr>
      <w:widowControl w:val="0"/>
      <w:ind w:firstLine="567" w:left="0"/>
      <w:jc w:val="both"/>
    </w:pPr>
    <w:rPr>
      <w:sz w:val="28"/>
    </w:rPr>
  </w:style>
  <w:style w:styleId="Style_23_ch" w:type="character">
    <w:name w:val="Normal (Web)"/>
    <w:basedOn w:val="Style_5_ch"/>
    <w:link w:val="Style_23"/>
    <w:rPr>
      <w:sz w:val="28"/>
    </w:rPr>
  </w:style>
  <w:style w:styleId="Style_24" w:type="paragraph">
    <w:name w:val="heading 1"/>
    <w:basedOn w:val="Style_5"/>
    <w:next w:val="Style_5"/>
    <w:link w:val="Style_24_ch"/>
    <w:uiPriority w:val="9"/>
    <w:qFormat/>
    <w:pPr>
      <w:keepNext w:val="1"/>
      <w:widowControl w:val="0"/>
      <w:ind/>
      <w:jc w:val="right"/>
      <w:outlineLvl w:val="0"/>
    </w:pPr>
    <w:rPr>
      <w:b w:val="1"/>
      <w:sz w:val="28"/>
    </w:rPr>
  </w:style>
  <w:style w:styleId="Style_24_ch" w:type="character">
    <w:name w:val="heading 1"/>
    <w:basedOn w:val="Style_5_ch"/>
    <w:link w:val="Style_24"/>
    <w:rPr>
      <w:b w:val="1"/>
      <w:sz w:val="28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25" w:type="paragraph">
    <w:name w:val="Footnote"/>
    <w:link w:val="Style_25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heading 8"/>
    <w:basedOn w:val="Style_5"/>
    <w:next w:val="Style_5"/>
    <w:link w:val="Style_26_ch"/>
    <w:uiPriority w:val="9"/>
    <w:qFormat/>
    <w:pPr>
      <w:widowControl w:val="0"/>
      <w:spacing w:after="60" w:before="240"/>
      <w:ind/>
      <w:outlineLvl w:val="7"/>
    </w:pPr>
    <w:rPr>
      <w:i w:val="1"/>
    </w:rPr>
  </w:style>
  <w:style w:styleId="Style_26_ch" w:type="character">
    <w:name w:val="heading 8"/>
    <w:basedOn w:val="Style_5_ch"/>
    <w:link w:val="Style_26"/>
    <w:rPr>
      <w:i w:val="1"/>
    </w:rPr>
  </w:style>
  <w:style w:styleId="Style_27" w:type="paragraph">
    <w:name w:val="toc 1"/>
    <w:next w:val="Style_5"/>
    <w:link w:val="Style_27_ch"/>
    <w:uiPriority w:val="39"/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Header and Footer"/>
    <w:link w:val="Style_28_ch"/>
    <w:pPr>
      <w:widowControl w:val="0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toc 9"/>
    <w:next w:val="Style_5"/>
    <w:link w:val="Style_29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19" w:type="paragraph">
    <w:name w:val="Основной шрифт абзаца1"/>
    <w:link w:val="Style_19_ch"/>
  </w:style>
  <w:style w:styleId="Style_19_ch" w:type="character">
    <w:name w:val="Основной шрифт абзаца1"/>
    <w:link w:val="Style_19"/>
  </w:style>
  <w:style w:styleId="Style_30" w:type="paragraph">
    <w:name w:val="Обычный1"/>
    <w:link w:val="Style_30_ch"/>
    <w:rPr>
      <w:sz w:val="24"/>
    </w:rPr>
  </w:style>
  <w:style w:styleId="Style_30_ch" w:type="character">
    <w:name w:val="Обычный1"/>
    <w:link w:val="Style_30"/>
    <w:rPr>
      <w:sz w:val="24"/>
    </w:rPr>
  </w:style>
  <w:style w:styleId="Style_31" w:type="paragraph">
    <w:name w:val="toc 8"/>
    <w:next w:val="Style_5"/>
    <w:link w:val="Style_31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footer"/>
    <w:basedOn w:val="Style_5"/>
    <w:link w:val="Style_32_ch"/>
    <w:pPr>
      <w:widowControl w:val="0"/>
      <w:tabs>
        <w:tab w:leader="none" w:pos="4677" w:val="center"/>
        <w:tab w:leader="none" w:pos="9355" w:val="right"/>
      </w:tabs>
      <w:ind/>
    </w:pPr>
  </w:style>
  <w:style w:styleId="Style_32_ch" w:type="character">
    <w:name w:val="footer"/>
    <w:basedOn w:val="Style_5_ch"/>
    <w:link w:val="Style_32"/>
  </w:style>
  <w:style w:styleId="Style_33" w:type="paragraph">
    <w:name w:val="toc 5"/>
    <w:next w:val="Style_5"/>
    <w:link w:val="Style_33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34" w:type="paragraph">
    <w:name w:val="Body Text Indent"/>
    <w:basedOn w:val="Style_5"/>
    <w:link w:val="Style_34_ch"/>
    <w:pPr>
      <w:widowControl w:val="0"/>
      <w:spacing w:line="360" w:lineRule="auto"/>
      <w:ind w:firstLine="720" w:left="0"/>
      <w:jc w:val="both"/>
    </w:pPr>
  </w:style>
  <w:style w:styleId="Style_34_ch" w:type="character">
    <w:name w:val="Body Text Indent"/>
    <w:basedOn w:val="Style_5_ch"/>
    <w:link w:val="Style_34"/>
  </w:style>
  <w:style w:styleId="Style_1" w:type="paragraph">
    <w:name w:val="header"/>
    <w:basedOn w:val="Style_5"/>
    <w:link w:val="Style_1_ch"/>
    <w:pPr>
      <w:widowControl w:val="0"/>
      <w:tabs>
        <w:tab w:leader="none" w:pos="4153" w:val="center"/>
        <w:tab w:leader="none" w:pos="8306" w:val="right"/>
      </w:tabs>
      <w:ind/>
    </w:pPr>
    <w:rPr>
      <w:sz w:val="20"/>
    </w:rPr>
  </w:style>
  <w:style w:styleId="Style_1_ch" w:type="character">
    <w:name w:val="header"/>
    <w:basedOn w:val="Style_5_ch"/>
    <w:link w:val="Style_1"/>
    <w:rPr>
      <w:sz w:val="20"/>
    </w:rPr>
  </w:style>
  <w:style w:styleId="Style_35" w:type="paragraph">
    <w:name w:val="annotation subject"/>
    <w:basedOn w:val="Style_9"/>
    <w:next w:val="Style_9"/>
    <w:link w:val="Style_35_ch"/>
    <w:rPr>
      <w:b w:val="1"/>
    </w:rPr>
  </w:style>
  <w:style w:styleId="Style_35_ch" w:type="character">
    <w:name w:val="annotation subject"/>
    <w:basedOn w:val="Style_9_ch"/>
    <w:link w:val="Style_35"/>
    <w:rPr>
      <w:b w:val="1"/>
    </w:rPr>
  </w:style>
  <w:style w:styleId="Style_36" w:type="paragraph">
    <w:name w:val="Subtitle"/>
    <w:next w:val="Style_5"/>
    <w:link w:val="Style_36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37" w:type="paragraph">
    <w:name w:val="Body Text Indent 2"/>
    <w:basedOn w:val="Style_5"/>
    <w:link w:val="Style_37_ch"/>
    <w:pPr>
      <w:widowControl w:val="0"/>
      <w:spacing w:after="120" w:line="480" w:lineRule="auto"/>
      <w:ind w:firstLine="0" w:left="283"/>
    </w:pPr>
  </w:style>
  <w:style w:styleId="Style_37_ch" w:type="character">
    <w:name w:val="Body Text Indent 2"/>
    <w:basedOn w:val="Style_5_ch"/>
    <w:link w:val="Style_37"/>
  </w:style>
  <w:style w:styleId="Style_38" w:type="paragraph">
    <w:name w:val="Title"/>
    <w:next w:val="Style_5"/>
    <w:link w:val="Style_38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8_ch" w:type="character">
    <w:name w:val="Title"/>
    <w:link w:val="Style_38"/>
    <w:rPr>
      <w:rFonts w:ascii="XO Thames" w:hAnsi="XO Thames"/>
      <w:b w:val="1"/>
      <w:caps w:val="1"/>
      <w:sz w:val="40"/>
    </w:rPr>
  </w:style>
  <w:style w:styleId="Style_39" w:type="paragraph">
    <w:name w:val="heading 4"/>
    <w:basedOn w:val="Style_5"/>
    <w:next w:val="Style_5"/>
    <w:link w:val="Style_39_ch"/>
    <w:uiPriority w:val="9"/>
    <w:qFormat/>
    <w:pPr>
      <w:keepNext w:val="1"/>
      <w:widowControl w:val="0"/>
      <w:ind/>
      <w:jc w:val="center"/>
      <w:outlineLvl w:val="3"/>
    </w:pPr>
    <w:rPr>
      <w:sz w:val="28"/>
    </w:rPr>
  </w:style>
  <w:style w:styleId="Style_39_ch" w:type="character">
    <w:name w:val="heading 4"/>
    <w:basedOn w:val="Style_5_ch"/>
    <w:link w:val="Style_39"/>
    <w:rPr>
      <w:sz w:val="28"/>
    </w:rPr>
  </w:style>
  <w:style w:styleId="Style_40" w:type="paragraph">
    <w:name w:val="heading 2"/>
    <w:basedOn w:val="Style_5"/>
    <w:next w:val="Style_5"/>
    <w:link w:val="Style_40_ch"/>
    <w:uiPriority w:val="9"/>
    <w:qFormat/>
    <w:pPr>
      <w:keepNext w:val="1"/>
      <w:widowControl w:val="0"/>
      <w:spacing w:line="166" w:lineRule="exact"/>
      <w:ind/>
      <w:jc w:val="center"/>
      <w:outlineLvl w:val="1"/>
    </w:pPr>
    <w:rPr>
      <w:b w:val="1"/>
      <w:spacing w:val="-6"/>
      <w:sz w:val="22"/>
    </w:rPr>
  </w:style>
  <w:style w:styleId="Style_40_ch" w:type="character">
    <w:name w:val="heading 2"/>
    <w:basedOn w:val="Style_5_ch"/>
    <w:link w:val="Style_40"/>
    <w:rPr>
      <w:b w:val="1"/>
      <w:spacing w:val="-6"/>
      <w:sz w:val="22"/>
    </w:rPr>
  </w:style>
  <w:style w:styleId="Style_41" w:type="paragraph">
    <w:name w:val="heading 6"/>
    <w:basedOn w:val="Style_5"/>
    <w:next w:val="Style_5"/>
    <w:link w:val="Style_41_ch"/>
    <w:uiPriority w:val="9"/>
    <w:qFormat/>
    <w:pPr>
      <w:keepNext w:val="1"/>
      <w:widowControl w:val="0"/>
      <w:spacing w:line="166" w:lineRule="exact"/>
      <w:ind/>
      <w:jc w:val="center"/>
      <w:outlineLvl w:val="5"/>
    </w:pPr>
    <w:rPr>
      <w:b w:val="1"/>
      <w:sz w:val="20"/>
    </w:rPr>
  </w:style>
  <w:style w:styleId="Style_41_ch" w:type="character">
    <w:name w:val="heading 6"/>
    <w:basedOn w:val="Style_5_ch"/>
    <w:link w:val="Style_41"/>
    <w:rPr>
      <w:b w:val="1"/>
      <w:sz w:val="20"/>
    </w:rPr>
  </w:style>
  <w:style w:default="1" w:styleId="Style_4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Table Grid"/>
    <w:basedOn w:val="Style_4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_rels/header2.xml.rels><?xml version="1.0" encoding="UTF-8" standalone="no" ?>
<Relationships xmlns="http://schemas.openxmlformats.org/package/2006/relationships"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2025-10-02T13:45:16Z</dcterms:created>
  <dcterms:modified xsi:type="dcterms:W3CDTF">2026-04-28T14:05:21Z</dcterms:modified>
</cp:coreProperties>
</file>