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 xml:space="preserve">В Свердловской области зафиксирован рост количества</w:t>
      </w:r>
      <w:r>
        <w:rPr>
          <w:rFonts w:ascii="Segoe UI" w:hAnsi="Segoe UI" w:cs="Segoe UI"/>
          <w:b/>
          <w:sz w:val="28"/>
          <w:szCs w:val="24"/>
        </w:rPr>
        <w:br/>
        <w:t xml:space="preserve"> вторичных сделок</w:t>
      </w:r>
      <w:r>
        <w:rPr>
          <w:rFonts w:ascii="Segoe UI" w:hAnsi="Segoe UI" w:cs="Segoe UI"/>
          <w:b/>
          <w:sz w:val="28"/>
          <w:szCs w:val="24"/>
        </w:rPr>
      </w:r>
      <w:r>
        <w:rPr>
          <w:rFonts w:ascii="Segoe UI" w:hAnsi="Segoe UI" w:cs="Segoe UI"/>
          <w:b/>
          <w:sz w:val="28"/>
          <w:szCs w:val="24"/>
        </w:rPr>
      </w:r>
    </w:p>
    <w:p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Свердловской области за февраль </w:t>
      </w:r>
      <w:r>
        <w:rPr>
          <w:rFonts w:ascii="Segoe UI" w:hAnsi="Segoe UI" w:cs="Segoe UI"/>
          <w:sz w:val="24"/>
          <w:szCs w:val="24"/>
        </w:rPr>
        <w:t xml:space="preserve">зарегистрировано 10 </w:t>
      </w:r>
      <w:r>
        <w:rPr>
          <w:rFonts w:ascii="Segoe UI" w:hAnsi="Segoe UI" w:cs="Segoe UI"/>
          <w:sz w:val="24"/>
          <w:szCs w:val="24"/>
        </w:rPr>
        <w:t xml:space="preserve">138</w:t>
      </w:r>
      <w:r>
        <w:rPr>
          <w:rFonts w:ascii="Segoe UI" w:hAnsi="Segoe UI" w:cs="Segoe UI"/>
          <w:sz w:val="24"/>
          <w:szCs w:val="24"/>
        </w:rPr>
        <w:t xml:space="preserve"> прав на основании договоров купли-продажи, в </w:t>
      </w:r>
      <w:r>
        <w:rPr>
          <w:rFonts w:ascii="Segoe UI" w:hAnsi="Segoe UI" w:cs="Segoe UI"/>
          <w:sz w:val="24"/>
          <w:szCs w:val="24"/>
        </w:rPr>
        <w:t xml:space="preserve">феврале 2025 года </w:t>
      </w:r>
      <w:r>
        <w:rPr>
          <w:rFonts w:ascii="Segoe UI" w:hAnsi="Segoe UI" w:cs="Segoe UI"/>
          <w:sz w:val="24"/>
          <w:szCs w:val="24"/>
        </w:rPr>
        <w:t xml:space="preserve">показатель составлял </w:t>
      </w:r>
      <w:r>
        <w:rPr>
          <w:rFonts w:ascii="Segoe UI" w:hAnsi="Segoe UI" w:cs="Segoe UI"/>
          <w:sz w:val="24"/>
          <w:szCs w:val="24"/>
        </w:rPr>
        <w:br/>
        <w:t xml:space="preserve">8 964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709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iCs/>
          <w:sz w:val="24"/>
          <w:szCs w:val="24"/>
        </w:rPr>
        <w:t xml:space="preserve">«В феврале текущего года</w:t>
      </w:r>
      <w:bookmarkStart w:id="0" w:name="_GoBack"/>
      <w:r/>
      <w:bookmarkEnd w:id="0"/>
      <w:r>
        <w:rPr>
          <w:rFonts w:ascii="Segoe UI" w:hAnsi="Segoe UI" w:cs="Segoe UI"/>
          <w:i/>
          <w:iCs/>
          <w:sz w:val="24"/>
          <w:szCs w:val="24"/>
        </w:rPr>
        <w:t xml:space="preserve"> количество зарегистрированных прав собственности на жилые помещения в сегменте «вторичного жилья» составило 10,</w:t>
      </w:r>
      <w:r>
        <w:rPr>
          <w:rFonts w:ascii="Segoe UI" w:hAnsi="Segoe UI" w:cs="Segoe UI"/>
          <w:i/>
          <w:iCs/>
          <w:sz w:val="24"/>
          <w:szCs w:val="24"/>
        </w:rPr>
        <w:t xml:space="preserve">1</w:t>
      </w:r>
      <w:r>
        <w:rPr>
          <w:rFonts w:ascii="Segoe UI" w:hAnsi="Segoe UI" w:cs="Segoe UI"/>
          <w:i/>
          <w:iCs/>
          <w:sz w:val="24"/>
          <w:szCs w:val="24"/>
        </w:rPr>
        <w:t xml:space="preserve"> тысяч. 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4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1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% </w:t>
      </w:r>
      <w:r>
        <w:rPr>
          <w:rFonts w:ascii="Segoe UI" w:hAnsi="Segoe UI" w:cs="Segoe UI"/>
          <w:i/>
          <w:iCs/>
          <w:sz w:val="24"/>
          <w:szCs w:val="24"/>
        </w:rPr>
        <w:t xml:space="preserve">процент</w:t>
      </w:r>
      <w:r>
        <w:rPr>
          <w:rFonts w:ascii="Segoe UI" w:hAnsi="Segoe UI" w:cs="Segoe UI"/>
          <w:i/>
          <w:iCs/>
          <w:sz w:val="24"/>
          <w:szCs w:val="24"/>
        </w:rPr>
        <w:t xml:space="preserve"> сделок приходится на Екатеринбург. Больше всего договоров купли-продажи </w:t>
      </w:r>
      <w:r>
        <w:rPr>
          <w:rFonts w:ascii="Segoe UI" w:hAnsi="Segoe UI" w:cs="Segoe UI"/>
          <w:i/>
          <w:iCs/>
          <w:sz w:val="24"/>
          <w:szCs w:val="24"/>
        </w:rPr>
        <w:t xml:space="preserve">зафиксировано в 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Академическом районе,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 второе место занимает район 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Кировский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,</w:t>
      </w:r>
      <w:r>
        <w:rPr>
          <w:rFonts w:ascii="Segoe UI" w:hAnsi="Segoe UI" w:cs="Segoe UI"/>
          <w:i/>
          <w:iCs/>
          <w:color w:val="ff0000"/>
          <w:sz w:val="24"/>
          <w:szCs w:val="24"/>
        </w:rPr>
        <w:t xml:space="preserve"> 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третье место – 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Октябрьский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 район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»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- отмечает руководитель Управления </w:t>
      </w:r>
      <w:r>
        <w:rPr>
          <w:rFonts w:ascii="Segoe UI" w:hAnsi="Segoe UI" w:cs="Segoe UI"/>
          <w:b/>
          <w:sz w:val="24"/>
          <w:szCs w:val="24"/>
        </w:rPr>
        <w:t xml:space="preserve">Игорь Цыганаш.</w:t>
      </w:r>
      <w:r>
        <w:rPr>
          <w:rFonts w:ascii="Segoe UI" w:hAnsi="Segoe UI" w:cs="Segoe UI"/>
          <w:i/>
          <w:sz w:val="24"/>
          <w:szCs w:val="24"/>
        </w:rPr>
      </w:r>
      <w:r>
        <w:rPr>
          <w:rFonts w:ascii="Segoe UI" w:hAnsi="Segoe UI" w:cs="Segoe UI"/>
          <w:i/>
          <w:sz w:val="24"/>
          <w:szCs w:val="24"/>
        </w:rPr>
      </w:r>
    </w:p>
    <w:p>
      <w:pPr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highlight w:val="none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На втором месте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Нижний Тагил (7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51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),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третье место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у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Каменска-Уральского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(3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94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),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четвертое –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у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Первоуральска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(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344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),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пятое – у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Верхней Пышмы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(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203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).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highlight w:val="none"/>
        </w:rPr>
      </w:r>
      <w:r>
        <w:rPr>
          <w:rFonts w:ascii="Segoe UI" w:hAnsi="Segoe UI" w:cs="Segoe UI"/>
          <w:color w:val="000000" w:themeColor="text1"/>
          <w:sz w:val="24"/>
          <w:szCs w:val="24"/>
          <w:highlight w:val="none"/>
        </w:rPr>
      </w:r>
    </w:p>
    <w:p>
      <w:pPr>
        <w:rPr>
          <w:rFonts w:ascii="Segoe UI" w:hAnsi="Segoe UI" w:eastAsia="Segoe UI" w:cs="Segoe UI"/>
          <w:b/>
          <w:bCs/>
          <w:sz w:val="24"/>
          <w:szCs w:val="24"/>
          <w:highlight w:val="none"/>
          <w:u w:val="none"/>
        </w:rPr>
      </w:pPr>
      <w:r>
        <w:rPr>
          <w:rFonts w:ascii="Segoe UI" w:hAnsi="Segoe UI" w:eastAsia="Segoe UI" w:cs="Segoe UI"/>
          <w:b/>
          <w:bCs/>
          <w:sz w:val="24"/>
          <w:szCs w:val="24"/>
          <w:highlight w:val="none"/>
          <w:u w:val="none"/>
        </w:rPr>
      </w:r>
      <w:hyperlink r:id="rId9" w:tooltip="https://max.ru/id6670073005_gos" w:history="1">
        <w:r>
          <w:rPr>
            <w:rStyle w:val="835"/>
            <w:rFonts w:ascii="Segoe UI" w:hAnsi="Segoe UI" w:eastAsia="Segoe UI" w:cs="Segoe UI"/>
            <w:b/>
            <w:bCs/>
            <w:sz w:val="24"/>
            <w:szCs w:val="24"/>
            <w:highlight w:val="none"/>
            <w:u w:val="none"/>
          </w:rPr>
          <w:t xml:space="preserve">Ссылка на пост в MAX</w:t>
        </w:r>
        <w:r>
          <w:rPr>
            <w:rStyle w:val="835"/>
            <w:rFonts w:ascii="Segoe UI" w:hAnsi="Segoe UI" w:eastAsia="Segoe UI" w:cs="Segoe UI"/>
            <w:b/>
            <w:bCs/>
            <w:sz w:val="24"/>
            <w:szCs w:val="24"/>
            <w:highlight w:val="none"/>
            <w:u w:val="single"/>
          </w:rPr>
        </w:r>
      </w:hyperlink>
      <w:r>
        <w:rPr>
          <w:rFonts w:ascii="Segoe UI" w:hAnsi="Segoe UI" w:eastAsia="Segoe UI" w:cs="Segoe UI"/>
          <w:b/>
          <w:bCs/>
          <w:sz w:val="24"/>
          <w:szCs w:val="24"/>
          <w:highlight w:val="none"/>
          <w:u w:val="none"/>
        </w:rPr>
      </w:r>
      <w:r>
        <w:rPr>
          <w:rFonts w:ascii="Segoe UI" w:hAnsi="Segoe UI" w:eastAsia="Segoe UI" w:cs="Segoe UI"/>
          <w:b/>
          <w:bCs/>
          <w:sz w:val="24"/>
          <w:szCs w:val="24"/>
          <w:highlight w:val="none"/>
          <w:u w:val="none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  <w:style w:type="paragraph" w:styleId="853">
    <w:name w:val="Balloon Text"/>
    <w:basedOn w:val="671"/>
    <w:link w:val="85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basedOn w:val="681"/>
    <w:link w:val="85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max.ru/id6670073005_gos/AZ0eJuGUFj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revision>40</cp:revision>
  <dcterms:created xsi:type="dcterms:W3CDTF">2024-04-18T10:47:00Z</dcterms:created>
  <dcterms:modified xsi:type="dcterms:W3CDTF">2026-03-24T05:45:19Z</dcterms:modified>
</cp:coreProperties>
</file>