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1312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6372" w:firstLine="708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spacing w:before="240"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Граждане могут оформить недвижимость на </w:t>
      </w:r>
      <w:r>
        <w:rPr>
          <w:rFonts w:ascii="Segoe UI" w:hAnsi="Segoe UI" w:cs="Segoe UI"/>
          <w:b/>
          <w:bCs/>
        </w:rPr>
        <w:t xml:space="preserve">воссоединенных российских</w:t>
      </w:r>
      <w:r>
        <w:rPr>
          <w:rFonts w:ascii="Segoe UI" w:hAnsi="Segoe UI" w:cs="Segoe UI"/>
          <w:b/>
          <w:bCs/>
        </w:rPr>
        <w:t xml:space="preserve"> территориях через МФЦ </w:t>
      </w:r>
      <w:r>
        <w:rPr>
          <w:rFonts w:ascii="Segoe UI" w:hAnsi="Segoe UI" w:cs="Segoe UI"/>
          <w:b/>
          <w:bCs/>
        </w:rPr>
        <w:t xml:space="preserve">Свердловской</w:t>
      </w:r>
      <w:r>
        <w:rPr>
          <w:rFonts w:ascii="Segoe UI" w:hAnsi="Segoe UI" w:cs="Segoe UI"/>
          <w:b/>
          <w:bCs/>
        </w:rPr>
        <w:t xml:space="preserve">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ind w:firstLine="567"/>
        <w:jc w:val="both"/>
        <w:spacing w:before="24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Управление Росреестра по Свердловской области сообщает о </w:t>
      </w:r>
      <w:r>
        <w:rPr>
          <w:rFonts w:ascii="Segoe UI" w:hAnsi="Segoe UI" w:cs="Segoe UI"/>
        </w:rPr>
        <w:t xml:space="preserve">том, что жители </w:t>
      </w:r>
      <w:bookmarkStart w:id="0" w:name="_Hlk210815904"/>
      <w:r>
        <w:rPr>
          <w:rFonts w:ascii="Segoe UI" w:hAnsi="Segoe UI" w:cs="Segoe UI"/>
        </w:rPr>
        <w:t xml:space="preserve">Свердловской</w:t>
      </w:r>
      <w:bookmarkEnd w:id="0"/>
      <w:r>
        <w:rPr>
          <w:rFonts w:ascii="Segoe UI" w:hAnsi="Segoe UI" w:cs="Segoe UI"/>
        </w:rPr>
        <w:t xml:space="preserve"> области могут экстерриториально </w:t>
      </w:r>
      <w:r>
        <w:rPr>
          <w:rFonts w:ascii="Segoe UI" w:hAnsi="Segoe UI" w:cs="Segoe UI"/>
        </w:rPr>
        <w:t xml:space="preserve">оформлять</w:t>
      </w:r>
      <w:r>
        <w:rPr>
          <w:rFonts w:ascii="Segoe UI" w:hAnsi="Segoe UI" w:cs="Segoe UI"/>
        </w:rPr>
        <w:t xml:space="preserve"> недвижимость, расположенную на воссоединенных российских территориях.</w:t>
      </w:r>
      <w:r>
        <w:rPr>
          <w:rFonts w:ascii="Segoe UI" w:hAnsi="Segoe UI" w:cs="Segoe UI"/>
        </w:rPr>
        <w:t xml:space="preserve"> У граждан есть возможность подавать документы на кадастровый учет </w:t>
      </w:r>
      <w:r>
        <w:rPr>
          <w:rFonts w:ascii="Segoe UI" w:hAnsi="Segoe UI" w:cs="Segoe UI"/>
        </w:rPr>
        <w:t xml:space="preserve">и регистрацию прав на объекты недвижимости, расположенные </w:t>
      </w:r>
      <w:r>
        <w:rPr>
          <w:rFonts w:ascii="Segoe UI" w:hAnsi="Segoe UI" w:cs="Segoe UI"/>
        </w:rPr>
        <w:t xml:space="preserve">в Донецкой и Луганской народных республиках, Запорожской и Херсонской областях, не выезжая за пределы области.</w:t>
      </w:r>
      <w:r>
        <w:rPr>
          <w:rFonts w:ascii="Segoe UI" w:hAnsi="Segoe UI" w:cs="Segoe UI"/>
        </w:rPr>
        <w:t xml:space="preserve"> Услуга доступна в офисах МФЦ региона.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pacing w:before="240"/>
        <w:rPr>
          <w:rFonts w:ascii="Segoe UI" w:hAnsi="Segoe UI" w:cs="Segoe UI"/>
          <w:bCs/>
          <w:i/>
        </w:rPr>
      </w:pPr>
      <w:r>
        <w:rPr>
          <w:rFonts w:ascii="Segoe UI" w:hAnsi="Segoe UI" w:cs="Segoe UI"/>
          <w:i/>
          <w:iCs/>
        </w:rPr>
        <w:t xml:space="preserve">«</w:t>
      </w:r>
      <w:r>
        <w:rPr>
          <w:rFonts w:ascii="Segoe UI" w:hAnsi="Segoe UI" w:cs="Segoe UI"/>
          <w:i/>
          <w:iCs/>
        </w:rPr>
        <w:t xml:space="preserve">Принцип экстерриториальности </w:t>
      </w:r>
      <w:r>
        <w:rPr>
          <w:rFonts w:ascii="Segoe UI" w:hAnsi="Segoe UI" w:cs="Segoe UI"/>
          <w:i/>
          <w:iCs/>
        </w:rPr>
        <w:t xml:space="preserve">озна</w:t>
      </w:r>
      <w:r>
        <w:rPr>
          <w:rFonts w:ascii="Segoe UI" w:hAnsi="Segoe UI" w:cs="Segoe UI"/>
          <w:i/>
          <w:iCs/>
        </w:rPr>
        <w:t xml:space="preserve">чает, что подать заявление можно независимо от места нахождения объекта недвижимости. Расширение географии предоставления таких услуг является частью системной работы Росреестра по обеспечению доступности государственных услуг для граждан и юридических лиц</w:t>
      </w:r>
      <w:r>
        <w:rPr>
          <w:rFonts w:ascii="Segoe UI" w:hAnsi="Segoe UI" w:cs="Segoe UI"/>
          <w:i/>
          <w:iCs/>
        </w:rPr>
        <w:t xml:space="preserve">»,</w:t>
      </w:r>
      <w:r>
        <w:rPr>
          <w:rFonts w:ascii="Segoe UI" w:hAnsi="Segoe UI" w:cs="Segoe UI"/>
        </w:rPr>
        <w:t xml:space="preserve"> -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сообщил</w:t>
      </w:r>
      <w:r>
        <w:rPr>
          <w:rFonts w:ascii="Segoe UI" w:hAnsi="Segoe UI" w:cs="Segoe UI"/>
        </w:rPr>
        <w:t xml:space="preserve"> руководитель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Игорь Цыганаш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bCs/>
          <w:i/>
        </w:rPr>
      </w:r>
      <w:r>
        <w:rPr>
          <w:rFonts w:ascii="Segoe UI" w:hAnsi="Segoe UI" w:cs="Segoe UI"/>
          <w:bCs/>
          <w:i/>
        </w:rPr>
      </w:r>
    </w:p>
    <w:p>
      <w:pPr>
        <w:ind w:firstLine="567"/>
        <w:jc w:val="both"/>
        <w:spacing w:before="24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  <w:i/>
          <w:iCs/>
        </w:rPr>
        <w:t xml:space="preserve">Такой порядок подачи документов позволяет значительно упростить </w:t>
      </w:r>
      <w:r>
        <w:rPr>
          <w:rFonts w:ascii="Segoe UI" w:hAnsi="Segoe UI" w:cs="Segoe UI"/>
          <w:i/>
          <w:iCs/>
        </w:rPr>
        <w:br/>
      </w:r>
      <w:r>
        <w:rPr>
          <w:rFonts w:ascii="Segoe UI" w:hAnsi="Segoe UI" w:cs="Segoe UI"/>
          <w:i/>
          <w:iCs/>
        </w:rPr>
        <w:t xml:space="preserve">и ускорить процедуру оформления прав на недвижимое имущество</w:t>
      </w:r>
      <w:r>
        <w:rPr>
          <w:rFonts w:ascii="Segoe UI" w:hAnsi="Segoe UI" w:cs="Segoe UI"/>
          <w:i/>
          <w:iCs/>
        </w:rPr>
        <w:t xml:space="preserve">, расположенное на воссоединенных территориях</w:t>
      </w:r>
      <w:r>
        <w:rPr>
          <w:rFonts w:ascii="Segoe UI" w:hAnsi="Segoe UI" w:cs="Segoe UI"/>
        </w:rPr>
        <w:t xml:space="preserve">»,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- отметила </w:t>
      </w:r>
      <w:r>
        <w:rPr>
          <w:rFonts w:ascii="Segoe UI" w:hAnsi="Segoe UI" w:cs="Segoe UI"/>
        </w:rPr>
        <w:t xml:space="preserve">директор МФЦ Свердловской области</w:t>
      </w:r>
      <w:r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 xml:space="preserve">Анастасия</w:t>
      </w:r>
      <w:r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 xml:space="preserve">Зайруллина</w:t>
      </w:r>
      <w:r>
        <w:rPr>
          <w:rFonts w:ascii="Segoe UI" w:hAnsi="Segoe UI" w:cs="Segoe UI"/>
          <w:b/>
          <w:bCs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contextualSpacing/>
        <w:ind w:firstLine="567"/>
        <w:jc w:val="both"/>
        <w:spacing w:before="24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оформления недвижимости в Донецкой и Луганской Народных Республиках, Запорожской и Херсонской областях </w:t>
      </w:r>
      <w:r>
        <w:rPr>
          <w:rFonts w:ascii="Segoe UI" w:hAnsi="Segoe UI" w:cs="Segoe UI"/>
        </w:rPr>
        <w:t xml:space="preserve">следует обращаться в офисы МФЦ Свердловской области в городах: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4"/>
        <w:numPr>
          <w:ilvl w:val="0"/>
          <w:numId w:val="9"/>
        </w:numPr>
        <w:jc w:val="both"/>
        <w:spacing w:before="24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  <w:lang w:val="en-US"/>
        </w:rPr>
        <w:t xml:space="preserve">Екатеринбург, ул. 8 Марта, 13;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64"/>
        <w:numPr>
          <w:ilvl w:val="0"/>
          <w:numId w:val="9"/>
        </w:numPr>
        <w:jc w:val="both"/>
        <w:spacing w:before="24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  <w:lang w:val="en-US"/>
        </w:rPr>
        <w:t xml:space="preserve">Нижний Тагил, ул. Ломоносова, 2а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64"/>
        <w:numPr>
          <w:ilvl w:val="0"/>
          <w:numId w:val="9"/>
        </w:numPr>
        <w:jc w:val="both"/>
        <w:spacing w:before="24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  <w:lang w:val="en-US"/>
        </w:rPr>
        <w:t xml:space="preserve">Серов, ул. Заславского, д. 15/6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64"/>
        <w:numPr>
          <w:ilvl w:val="0"/>
          <w:numId w:val="9"/>
        </w:numPr>
        <w:jc w:val="both"/>
        <w:spacing w:before="24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  <w:lang w:val="en-US"/>
        </w:rPr>
        <w:t xml:space="preserve">Каменск-Уральский, ул. Ленина, 34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lang w:eastAsia="ru-RU"/>
        </w:rPr>
      </w:r>
      <w:r>
        <w:rPr>
          <w:rFonts w:ascii="Segoe UI" w:hAnsi="Segoe UI" w:cs="Segoe UI" w:eastAsiaTheme="minorEastAsia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/>
          <w:color w:val="000000"/>
        </w:rPr>
      </w:r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 w:asciiTheme="minorHAnsi" w:hAnsi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asciiTheme="minorHAnsi" w:hAnsi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asciiTheme="minorHAnsi" w:hAnsi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Theme="minorHAnsi" w:hAnsi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asciiTheme="minorHAnsi" w:hAnsi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37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6"/>
    <w:link w:val="838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46"/>
    <w:link w:val="839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846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846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846"/>
    <w:link w:val="842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846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846"/>
    <w:link w:val="844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846"/>
    <w:link w:val="845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character" w:styleId="682">
    <w:name w:val="Title Char"/>
    <w:basedOn w:val="846"/>
    <w:link w:val="858"/>
    <w:uiPriority w:val="10"/>
    <w:rPr>
      <w:sz w:val="48"/>
      <w:szCs w:val="48"/>
    </w:rPr>
  </w:style>
  <w:style w:type="character" w:styleId="683">
    <w:name w:val="Subtitle Char"/>
    <w:basedOn w:val="846"/>
    <w:link w:val="860"/>
    <w:uiPriority w:val="11"/>
    <w:rPr>
      <w:sz w:val="24"/>
      <w:szCs w:val="24"/>
    </w:rPr>
  </w:style>
  <w:style w:type="character" w:styleId="684">
    <w:name w:val="Quote Char"/>
    <w:link w:val="862"/>
    <w:uiPriority w:val="29"/>
    <w:rPr>
      <w:i/>
    </w:rPr>
  </w:style>
  <w:style w:type="character" w:styleId="685">
    <w:name w:val="Intense Quote Char"/>
    <w:link w:val="866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46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46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6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6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paragraph" w:styleId="837">
    <w:name w:val="Heading 1"/>
    <w:basedOn w:val="836"/>
    <w:next w:val="836"/>
    <w:link w:val="849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38">
    <w:name w:val="Heading 2"/>
    <w:basedOn w:val="836"/>
    <w:next w:val="836"/>
    <w:link w:val="850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39">
    <w:name w:val="Heading 3"/>
    <w:basedOn w:val="836"/>
    <w:next w:val="836"/>
    <w:link w:val="851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40">
    <w:name w:val="Heading 4"/>
    <w:basedOn w:val="836"/>
    <w:next w:val="836"/>
    <w:link w:val="852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41">
    <w:name w:val="Heading 5"/>
    <w:basedOn w:val="836"/>
    <w:next w:val="836"/>
    <w:link w:val="853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42">
    <w:name w:val="Heading 6"/>
    <w:basedOn w:val="836"/>
    <w:next w:val="836"/>
    <w:link w:val="854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43">
    <w:name w:val="Heading 7"/>
    <w:basedOn w:val="836"/>
    <w:next w:val="836"/>
    <w:link w:val="85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44">
    <w:name w:val="Heading 8"/>
    <w:basedOn w:val="836"/>
    <w:next w:val="836"/>
    <w:link w:val="85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45">
    <w:name w:val="Heading 9"/>
    <w:basedOn w:val="836"/>
    <w:next w:val="836"/>
    <w:link w:val="85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 w:customStyle="1">
    <w:name w:val="Заголовок 1 Знак"/>
    <w:basedOn w:val="846"/>
    <w:link w:val="837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50" w:customStyle="1">
    <w:name w:val="Заголовок 2 Знак"/>
    <w:basedOn w:val="846"/>
    <w:link w:val="838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1" w:customStyle="1">
    <w:name w:val="Заголовок 3 Знак"/>
    <w:basedOn w:val="846"/>
    <w:link w:val="839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52" w:customStyle="1">
    <w:name w:val="Заголовок 4 Знак"/>
    <w:basedOn w:val="846"/>
    <w:link w:val="840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53" w:customStyle="1">
    <w:name w:val="Заголовок 5 Знак"/>
    <w:basedOn w:val="846"/>
    <w:link w:val="841"/>
    <w:uiPriority w:val="9"/>
    <w:semiHidden/>
    <w:rPr>
      <w:rFonts w:eastAsiaTheme="majorEastAsia" w:cstheme="majorBidi"/>
      <w:color w:val="2f5496" w:themeColor="accent1" w:themeShade="BF"/>
    </w:rPr>
  </w:style>
  <w:style w:type="character" w:styleId="854" w:customStyle="1">
    <w:name w:val="Заголовок 6 Знак"/>
    <w:basedOn w:val="846"/>
    <w:link w:val="842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55" w:customStyle="1">
    <w:name w:val="Заголовок 7 Знак"/>
    <w:basedOn w:val="846"/>
    <w:link w:val="843"/>
    <w:uiPriority w:val="9"/>
    <w:semiHidden/>
    <w:rPr>
      <w:rFonts w:eastAsiaTheme="majorEastAsia" w:cstheme="majorBidi"/>
      <w:color w:val="595959" w:themeColor="text1" w:themeTint="A6"/>
    </w:rPr>
  </w:style>
  <w:style w:type="character" w:styleId="856" w:customStyle="1">
    <w:name w:val="Заголовок 8 Знак"/>
    <w:basedOn w:val="846"/>
    <w:link w:val="844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57" w:customStyle="1">
    <w:name w:val="Заголовок 9 Знак"/>
    <w:basedOn w:val="846"/>
    <w:link w:val="845"/>
    <w:uiPriority w:val="9"/>
    <w:semiHidden/>
    <w:rPr>
      <w:rFonts w:eastAsiaTheme="majorEastAsia" w:cstheme="majorBidi"/>
      <w:color w:val="272727" w:themeColor="text1" w:themeTint="D8"/>
    </w:rPr>
  </w:style>
  <w:style w:type="paragraph" w:styleId="858">
    <w:name w:val="Title"/>
    <w:basedOn w:val="836"/>
    <w:next w:val="836"/>
    <w:link w:val="859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9" w:customStyle="1">
    <w:name w:val="Название Знак"/>
    <w:basedOn w:val="846"/>
    <w:link w:val="85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60">
    <w:name w:val="Subtitle"/>
    <w:basedOn w:val="836"/>
    <w:next w:val="836"/>
    <w:link w:val="86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1" w:customStyle="1">
    <w:name w:val="Подзаголовок Знак"/>
    <w:basedOn w:val="846"/>
    <w:link w:val="86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62">
    <w:name w:val="Quote"/>
    <w:basedOn w:val="836"/>
    <w:next w:val="836"/>
    <w:link w:val="86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3" w:customStyle="1">
    <w:name w:val="Цитата 2 Знак"/>
    <w:basedOn w:val="846"/>
    <w:link w:val="862"/>
    <w:uiPriority w:val="29"/>
    <w:rPr>
      <w:i/>
      <w:iCs/>
      <w:color w:val="404040" w:themeColor="text1" w:themeTint="BF"/>
    </w:rPr>
  </w:style>
  <w:style w:type="paragraph" w:styleId="864">
    <w:name w:val="List Paragraph"/>
    <w:basedOn w:val="836"/>
    <w:uiPriority w:val="34"/>
    <w:qFormat/>
    <w:pPr>
      <w:contextualSpacing/>
      <w:ind w:left="720"/>
    </w:pPr>
  </w:style>
  <w:style w:type="character" w:styleId="865">
    <w:name w:val="Intense Emphasis"/>
    <w:basedOn w:val="846"/>
    <w:uiPriority w:val="21"/>
    <w:qFormat/>
    <w:rPr>
      <w:i/>
      <w:iCs/>
      <w:color w:val="2f5496" w:themeColor="accent1" w:themeShade="BF"/>
    </w:rPr>
  </w:style>
  <w:style w:type="paragraph" w:styleId="866">
    <w:name w:val="Intense Quote"/>
    <w:basedOn w:val="836"/>
    <w:next w:val="836"/>
    <w:link w:val="867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67" w:customStyle="1">
    <w:name w:val="Выделенная цитата Знак"/>
    <w:basedOn w:val="846"/>
    <w:link w:val="866"/>
    <w:uiPriority w:val="30"/>
    <w:rPr>
      <w:i/>
      <w:iCs/>
      <w:color w:val="2f5496" w:themeColor="accent1" w:themeShade="BF"/>
    </w:rPr>
  </w:style>
  <w:style w:type="character" w:styleId="868">
    <w:name w:val="Intense Reference"/>
    <w:basedOn w:val="846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869">
    <w:name w:val="Balloon Text"/>
    <w:basedOn w:val="836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846"/>
    <w:link w:val="86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12</cp:revision>
  <dcterms:created xsi:type="dcterms:W3CDTF">2025-10-08T05:51:00Z</dcterms:created>
  <dcterms:modified xsi:type="dcterms:W3CDTF">2026-03-05T08:32:01Z</dcterms:modified>
</cp:coreProperties>
</file>