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551"/>
        <w:gridCol w:w="3544"/>
      </w:tblGrid>
      <w:tr>
        <w:tblPrEx/>
        <w:trPr>
          <w:trHeight w:val="373"/>
        </w:trPr>
        <w:tc>
          <w:tcPr>
            <w:shd w:val="clear" w:color="auto" w:fill="auto"/>
            <w:tcW w:w="3403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52070</wp:posOffset>
                      </wp:positionV>
                      <wp:extent cx="1199515" cy="377825"/>
                      <wp:effectExtent l="0" t="0" r="0" b="3175"/>
                      <wp:wrapThrough wrapText="bothSides">
                        <wp:wrapPolygon edited="1">
                          <wp:start x="1830" y="0"/>
                          <wp:lineTo x="0" y="4356"/>
                          <wp:lineTo x="0" y="15973"/>
                          <wp:lineTo x="1601" y="21055"/>
                          <wp:lineTo x="5031" y="21055"/>
                          <wp:lineTo x="21268" y="20329"/>
                          <wp:lineTo x="21268" y="2904"/>
                          <wp:lineTo x="5031" y="0"/>
                          <wp:lineTo x="1830" y="0"/>
                        </wp:wrapPolygon>
                      </wp:wrapThrough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9515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0.35pt;mso-position-horizontal:absolute;mso-position-vertical-relative:text;margin-top:4.10pt;mso-position-vertical:absolute;width:94.45pt;height:29.75pt;mso-wrap-distance-left:9.00pt;mso-wrap-distance-top:0.00pt;mso-wrap-distance-right:9.00pt;mso-wrap-distance-bottom:0.00pt;" wrapcoords="8472 0 0 20167 0 73949 7412 97477 23292 97477 98463 94116 98463 13444 23292 0 8472 0" stroked="f">
                      <v:path textboxrect="0,0,0,0"/>
                      <w10:wrap type="through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W w:w="2551" w:type="dxa"/>
            <w:vMerge w:val="restart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Публичное акционерное общество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«Россети </w:t>
            </w:r>
            <w:r>
              <w:rPr>
                <w:rFonts w:ascii="Arial Narrow" w:hAnsi="Arial Narrow"/>
                <w:sz w:val="20"/>
                <w:szCs w:val="20"/>
              </w:rPr>
              <w:t xml:space="preserve">Урал</w:t>
            </w:r>
            <w:r>
              <w:rPr>
                <w:rFonts w:ascii="Arial Narrow" w:hAnsi="Arial Narrow"/>
                <w:sz w:val="20"/>
                <w:szCs w:val="20"/>
              </w:rPr>
              <w:t xml:space="preserve">»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448"/>
        </w:trPr>
        <w:tc>
          <w:tcPr>
            <w:shd w:val="clear" w:color="auto" w:fill="auto"/>
            <w:tcW w:w="3403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403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</w:rPr>
              <w:t xml:space="preserve">ПРЕСС-РЕЛИЗ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403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W w:w="3403" w:type="dxa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</w:pPr>
            <w:r/>
            <w:r/>
          </w:p>
        </w:tc>
        <w:tc>
          <w:tcPr>
            <w:shd w:val="clear" w:color="auto" w:fill="auto"/>
            <w:tcW w:w="2551" w:type="dxa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24.02</w:t>
            </w:r>
            <w:r>
              <w:rPr>
                <w:rFonts w:ascii="Arial Narrow" w:hAnsi="Arial Narrow"/>
              </w:rPr>
              <w:t xml:space="preserve">.2026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  <w:tr>
        <w:tblPrEx/>
        <w:trPr>
          <w:trHeight w:val="518"/>
        </w:trPr>
        <w:tc>
          <w:tcPr>
            <w:shd w:val="clear" w:color="auto" w:fill="auto"/>
            <w:tcW w:w="3403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W w:w="2551" w:type="dxa"/>
            <w:vAlign w:val="bottom"/>
            <w:vMerge w:val="continue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ind w:left="3"/>
        <w:jc w:val="center"/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</w:p>
    <w:p>
      <w:pPr>
        <w:ind w:left="-142" w:firstLine="851"/>
        <w:jc w:val="center"/>
        <w:spacing w:after="0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</w:r>
      <w:r>
        <w:rPr>
          <w:rFonts w:ascii="Arial Narrow" w:hAnsi="Arial Narrow" w:cs="Arial"/>
          <w:b/>
          <w:sz w:val="26"/>
          <w:szCs w:val="26"/>
        </w:rPr>
      </w:r>
      <w:r>
        <w:rPr>
          <w:rFonts w:ascii="Arial Narrow" w:hAnsi="Arial Narrow" w:cs="Arial"/>
          <w:b/>
          <w:sz w:val="26"/>
          <w:szCs w:val="26"/>
        </w:rPr>
      </w:r>
    </w:p>
    <w:p>
      <w:pPr>
        <w:contextualSpacing w:val="0"/>
        <w:ind w:left="-142" w:firstLine="0"/>
        <w:jc w:val="center"/>
        <w:spacing w:before="0" w:after="0" w:line="276" w:lineRule="auto"/>
        <w:rPr>
          <w:rFonts w:ascii="Arial Narrow" w:hAnsi="Arial Narrow" w:eastAsia="Times New Roman" w:cs="Calibri"/>
          <w:b/>
          <w:bCs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Arial Narrow" w:hAnsi="Arial Narrow" w:eastAsia="Times New Roman" w:cs="Calibri"/>
          <w:b/>
          <w:bCs/>
          <w:color w:val="000000" w:themeColor="text1"/>
          <w:sz w:val="26"/>
          <w:szCs w:val="26"/>
        </w:rPr>
        <w:t xml:space="preserve">Энергетики свердловского филиала «Россети Урал» обновили автопарк</w:t>
      </w:r>
      <w:r>
        <w:rPr>
          <w:sz w:val="26"/>
          <w:szCs w:val="26"/>
        </w:rPr>
      </w:r>
    </w:p>
    <w:p>
      <w:pPr>
        <w:contextualSpacing w:val="0"/>
        <w:ind w:left="-142" w:firstLine="0"/>
        <w:jc w:val="left"/>
        <w:spacing w:before="0" w:after="0" w:line="276" w:lineRule="auto"/>
        <w:rPr>
          <w:sz w:val="26"/>
          <w:szCs w:val="26"/>
        </w:rPr>
        <w:suppressLineNumbers w:val="0"/>
      </w:pPr>
      <w:r>
        <w:rPr>
          <w:rFonts w:ascii="Arial Narrow" w:hAnsi="Arial Narrow" w:eastAsia="Times New Roman" w:cs="Calibri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Arial Narrow" w:hAnsi="Arial Narrow" w:eastAsia="Times New Roman" w:cs="Calibri"/>
          <w:b/>
          <w:bCs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left="-142" w:firstLine="851"/>
        <w:jc w:val="both"/>
        <w:spacing w:before="0" w:after="0" w:line="276" w:lineRule="auto"/>
        <w:rPr>
          <w:rFonts w:ascii="Arial Narrow" w:hAnsi="Arial Narrow" w:eastAsia="Arial Narrow" w:cs="Arial Narrow"/>
          <w:color w:val="000000" w:themeColor="text1"/>
          <w:sz w:val="26"/>
          <w:szCs w:val="26"/>
        </w:rPr>
        <w:suppressLineNumbers w:val="0"/>
      </w:pPr>
      <w:r>
        <w:rPr>
          <w:rFonts w:ascii="Arial Narrow" w:hAnsi="Arial Narrow" w:eastAsia="Arial Narrow" w:cs="Arial Narrow"/>
          <w:color w:val="000000" w:themeColor="text1"/>
          <w:sz w:val="26"/>
          <w:szCs w:val="26"/>
        </w:rPr>
      </w:r>
      <w:r>
        <w:rPr>
          <w:rFonts w:ascii="Arial Narrow" w:hAnsi="Arial Narrow" w:eastAsia="Arial Narrow" w:cs="Arial Narrow"/>
          <w:color w:val="000000" w:themeColor="text1"/>
          <w:sz w:val="26"/>
          <w:szCs w:val="26"/>
        </w:rPr>
        <w:t xml:space="preserve">Автопарк </w:t>
      </w:r>
      <w:r>
        <w:rPr>
          <w:rFonts w:ascii="Arial Narrow" w:hAnsi="Arial Narrow" w:eastAsia="Arial Narrow" w:cs="Arial Narrow"/>
          <w:color w:val="000000" w:themeColor="text1"/>
          <w:sz w:val="26"/>
          <w:szCs w:val="26"/>
        </w:rPr>
        <w:t xml:space="preserve">Талицких электрических сетей свердловского филиала «Россети Урал» пополнился пятью единицами новой техники отечественного автопрома. Грузопассажирские автомобили были распределены по структурным подразделениям. </w:t>
      </w:r>
      <w:r>
        <w:rPr>
          <w:rFonts w:ascii="Arial Narrow" w:hAnsi="Arial Narrow" w:eastAsia="Arial Narrow" w:cs="Arial Narrow"/>
          <w:color w:val="000000" w:themeColor="text1"/>
          <w:sz w:val="26"/>
          <w:szCs w:val="26"/>
        </w:rPr>
      </w:r>
      <w:r>
        <w:rPr>
          <w:rFonts w:ascii="Arial Narrow" w:hAnsi="Arial Narrow" w:eastAsia="Arial Narrow" w:cs="Arial Narrow"/>
          <w:color w:val="000000" w:themeColor="text1"/>
          <w:sz w:val="26"/>
          <w:szCs w:val="26"/>
        </w:rPr>
      </w:r>
    </w:p>
    <w:p>
      <w:pPr>
        <w:contextualSpacing w:val="0"/>
        <w:ind w:left="-142" w:firstLine="851"/>
        <w:jc w:val="both"/>
        <w:spacing w:before="0" w:after="0" w:line="276" w:lineRule="auto"/>
        <w:rPr>
          <w:rFonts w:ascii="Arial Narrow" w:hAnsi="Arial Narrow" w:eastAsia="Arial Narrow" w:cs="Arial Narrow"/>
          <w:sz w:val="26"/>
          <w:szCs w:val="26"/>
        </w:rPr>
        <w:suppressLineNumbers w:val="0"/>
      </w:pPr>
      <w:r>
        <w:rPr>
          <w:rFonts w:ascii="Arial Narrow" w:hAnsi="Arial Narrow" w:eastAsia="Arial Narrow" w:cs="Arial Narrow"/>
          <w:sz w:val="26"/>
          <w:szCs w:val="26"/>
        </w:rPr>
        <w:t xml:space="preserve">Автомобили марки Г</w:t>
      </w:r>
      <w:r>
        <w:rPr>
          <w:rFonts w:ascii="Arial Narrow" w:hAnsi="Arial Narrow" w:eastAsia="Arial Narrow" w:cs="Arial Narrow"/>
          <w:sz w:val="26"/>
          <w:szCs w:val="26"/>
        </w:rPr>
        <w:t xml:space="preserve">АЗ</w:t>
      </w:r>
      <w:r>
        <w:rPr>
          <w:rFonts w:ascii="Arial Narrow" w:hAnsi="Arial Narrow" w:eastAsia="Arial Narrow" w:cs="Arial Narrow"/>
          <w:sz w:val="26"/>
          <w:szCs w:val="26"/>
        </w:rPr>
        <w:t xml:space="preserve"> «Соболь» направлены в районы электрических сетей для эксплуатации бригадами по обслуживанию подстанций и участка транспорта электроэнергии</w:t>
      </w:r>
      <w:r>
        <w:rPr>
          <w:rFonts w:ascii="Arial Narrow" w:hAnsi="Arial Narrow" w:eastAsia="Arial Narrow" w:cs="Arial Narrow"/>
          <w:sz w:val="26"/>
          <w:szCs w:val="26"/>
        </w:rPr>
        <w:t xml:space="preserve">. Также для бригады распредсетей направлена п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ередвижная мастерская на шасси марки ГАЗ С41А23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«САДКО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N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E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X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T»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.</w:t>
      </w: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eastAsia="Arial Narrow" w:cs="Arial Narrow"/>
          <w:sz w:val="26"/>
          <w:szCs w:val="26"/>
        </w:rPr>
      </w:r>
    </w:p>
    <w:p>
      <w:pPr>
        <w:contextualSpacing w:val="0"/>
        <w:ind w:left="-142" w:firstLine="851"/>
        <w:jc w:val="both"/>
        <w:spacing w:before="0" w:after="0" w:line="276" w:lineRule="auto"/>
        <w:rPr>
          <w:rFonts w:ascii="Arial Narrow" w:hAnsi="Arial Narrow" w:eastAsia="Arial Narrow" w:cs="Arial Narrow"/>
          <w:sz w:val="26"/>
          <w:szCs w:val="26"/>
        </w:rPr>
        <w:suppressLineNumbers w:val="0"/>
      </w:pP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Грузовой фургон ГАЗ-27527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«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С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оболь»</w:t>
      </w:r>
      <w:r>
        <w:rPr>
          <w:rFonts w:ascii="Arial Narrow" w:hAnsi="Arial Narrow" w:eastAsia="Arial Narrow" w:cs="Arial Narrow"/>
          <w:i/>
          <w:iCs/>
          <w:color w:val="000000" w:themeColor="text1"/>
          <w:sz w:val="26"/>
          <w:szCs w:val="26"/>
        </w:rPr>
        <w:t xml:space="preserve"> </w:t>
      </w: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</w:rPr>
        <w:t xml:space="preserve">рассчитан на перевозку семи человек и необходимого в работе энергетиков оборудования. Он</w:t>
      </w: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</w:rPr>
        <w:t xml:space="preserve"> оснащен кондиционером для комфорта водителя и пассажиров, антиблокировочной системой (АБС), видеорегистратором и багажником на крыше с лестницей.</w:t>
      </w:r>
      <w:r>
        <w:rPr>
          <w:rFonts w:ascii="Arial Narrow" w:hAnsi="Arial Narrow" w:eastAsia="Arial Narrow" w:cs="Arial Narrow"/>
          <w:sz w:val="26"/>
          <w:szCs w:val="26"/>
        </w:rPr>
      </w:r>
      <w:r>
        <w:rPr>
          <w:rFonts w:ascii="Arial Narrow" w:hAnsi="Arial Narrow" w:eastAsia="Arial Narrow" w:cs="Arial Narrow"/>
          <w:sz w:val="26"/>
          <w:szCs w:val="26"/>
        </w:rPr>
      </w:r>
    </w:p>
    <w:p>
      <w:pPr>
        <w:contextualSpacing w:val="0"/>
        <w:ind w:left="0" w:right="0" w:firstLine="709"/>
        <w:jc w:val="both"/>
        <w:spacing w:before="0" w:after="0" w:line="276" w:lineRule="auto"/>
        <w:rPr>
          <w:rFonts w:ascii="Arial Narrow" w:hAnsi="Arial Narrow" w:cs="Arial Narrow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Отметим, что ранее для выполнения производственных задач в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Талицкие электрические сети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был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и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поставлены два снегохода марки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T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a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y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g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a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P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a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t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r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u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l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8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0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0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, два прицепа для снегоходов и</w:t>
      </w:r>
      <w:r>
        <w:rPr>
          <w:rFonts w:ascii="Arial Narrow" w:hAnsi="Arial Narrow" w:eastAsia="Arial Narrow" w:cs="Arial Narrow"/>
          <w:sz w:val="26"/>
          <w:szCs w:val="26"/>
          <w:highlight w:val="none"/>
        </w:rPr>
        <w:t xml:space="preserve"> </w:t>
      </w:r>
      <w:r>
        <w:rPr>
          <w:rFonts w:ascii="Arial Narrow" w:hAnsi="Arial Narrow" w:eastAsia="Arial Narrow" w:cs="Arial Narrow"/>
          <w:sz w:val="26"/>
          <w:szCs w:val="26"/>
        </w:rPr>
        <w:t xml:space="preserve">вилочный погрузчик для выполнения погрузочно-разгрузочных работ на </w:t>
      </w:r>
      <w:r>
        <w:rPr>
          <w:rFonts w:ascii="Arial Narrow" w:hAnsi="Arial Narrow" w:eastAsia="Arial Narrow" w:cs="Arial Narrow"/>
          <w:sz w:val="26"/>
          <w:szCs w:val="26"/>
        </w:rPr>
        <w:t xml:space="preserve"> складе</w:t>
      </w:r>
      <w:r>
        <w:rPr>
          <w:rFonts w:ascii="Arial Narrow" w:hAnsi="Arial Narrow" w:eastAsia="Arial Narrow" w:cs="Arial Narrow"/>
          <w:sz w:val="26"/>
          <w:szCs w:val="26"/>
        </w:rPr>
        <w:t xml:space="preserve"> материалов</w:t>
      </w:r>
      <w:r>
        <w:rPr>
          <w:rFonts w:ascii="Arial Narrow" w:hAnsi="Arial Narrow" w:eastAsia="Arial Narrow" w:cs="Arial Narrow"/>
          <w:sz w:val="26"/>
          <w:szCs w:val="26"/>
        </w:rPr>
        <w:t xml:space="preserve">.</w:t>
      </w:r>
      <w:r>
        <w:rPr>
          <w:rFonts w:ascii="Arial Narrow" w:hAnsi="Arial Narrow" w:cs="Arial Narrow"/>
          <w:sz w:val="26"/>
          <w:szCs w:val="26"/>
        </w:rPr>
      </w:r>
      <w:r>
        <w:rPr>
          <w:rFonts w:ascii="Arial Narrow" w:hAnsi="Arial Narrow" w:cs="Arial Narrow"/>
          <w:sz w:val="26"/>
          <w:szCs w:val="26"/>
        </w:rPr>
      </w:r>
    </w:p>
    <w:p>
      <w:pPr>
        <w:contextualSpacing w:val="0"/>
        <w:ind w:left="-142" w:firstLine="851"/>
        <w:jc w:val="both"/>
        <w:spacing w:before="0" w:after="0" w:line="276" w:lineRule="auto"/>
        <w:rPr>
          <w:rFonts w:ascii="Arial Narrow" w:hAnsi="Arial Narrow" w:eastAsia="Arial Narrow" w:cs="Arial Narrow"/>
          <w:bCs w:val="0"/>
          <w:i w:val="0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  <w:highlight w:val="none"/>
        </w:rPr>
        <w:t xml:space="preserve"> Приобретение </w:t>
      </w: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  <w:highlight w:val="none"/>
        </w:rPr>
        <w:t xml:space="preserve">пассажирской и специализированной </w:t>
      </w: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  <w:highlight w:val="none"/>
        </w:rPr>
        <w:t xml:space="preserve"> техники реализуется в рамках инвестиционной</w:t>
      </w: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  <w:highlight w:val="none"/>
        </w:rPr>
        <w:t xml:space="preserve"> </w:t>
      </w:r>
      <w:commentRangeStart w:id="0"/>
      <w:commentRangeStart w:id="1"/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  <w:highlight w:val="none"/>
        </w:rPr>
        <w:t xml:space="preserve">программы.</w:t>
      </w:r>
      <w:commentRangeEnd w:id="0"/>
      <w:commentRangeEnd w:id="1"/>
      <w:r>
        <w:commentReference w:id="0"/>
        <w:commentReference w:id="1"/>
      </w: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  <w:highlight w:val="none"/>
        </w:rPr>
        <w:t xml:space="preserve"> На эти цели для </w:t>
      </w: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  <w:highlight w:val="none"/>
        </w:rPr>
        <w:t xml:space="preserve">производственного отделения в 2025 году компания </w:t>
      </w: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  <w:highlight w:val="none"/>
        </w:rPr>
        <w:t xml:space="preserve">по</w:t>
      </w: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  <w:highlight w:val="none"/>
        </w:rPr>
        <w:t xml:space="preserve">тратила более 30</w:t>
      </w: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  <w:highlight w:val="none"/>
        </w:rPr>
        <w:t xml:space="preserve"> миллионов рублей.</w:t>
      </w:r>
      <w:r>
        <w:rPr>
          <w:rFonts w:ascii="Arial Narrow" w:hAnsi="Arial Narrow" w:eastAsia="Arial Narrow" w:cs="Arial Narrow"/>
          <w:bCs w:val="0"/>
          <w:i w:val="0"/>
          <w:color w:val="000000" w:themeColor="text1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bCs w:val="0"/>
          <w:i w:val="0"/>
          <w:color w:val="000000" w:themeColor="text1"/>
          <w:sz w:val="26"/>
          <w:szCs w:val="26"/>
          <w:highlight w:val="none"/>
        </w:rPr>
      </w:r>
    </w:p>
    <w:p>
      <w:pPr>
        <w:contextualSpacing w:val="0"/>
        <w:ind w:left="-142" w:firstLine="851"/>
        <w:jc w:val="both"/>
        <w:spacing w:before="0" w:after="0" w:line="276" w:lineRule="auto"/>
        <w:rPr>
          <w:bCs w:val="0"/>
          <w:i w:val="0"/>
          <w:sz w:val="26"/>
          <w:szCs w:val="26"/>
        </w:rPr>
        <w:suppressLineNumbers w:val="0"/>
      </w:pP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  <w:highlight w:val="none"/>
        </w:rPr>
      </w: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  <w:highlight w:val="none"/>
        </w:rPr>
        <w:t xml:space="preserve">Оснащение энергетиков современной и надежной автотехникой является важным условием для выполнения различных производственных задач и </w:t>
      </w: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  <w:highlight w:val="none"/>
        </w:rPr>
        <w:t xml:space="preserve">способствует </w:t>
      </w: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  <w:highlight w:val="none"/>
        </w:rPr>
        <w:t xml:space="preserve">обеспечению качественного и бесперебойного электроснабжения потребителей обслуживаемых территорий.</w:t>
      </w:r>
      <w:r>
        <w:rPr>
          <w:rFonts w:ascii="Arial Narrow" w:hAnsi="Arial Narrow" w:eastAsia="Arial Narrow" w:cs="Arial Narrow"/>
          <w:i w:val="0"/>
          <w:i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bCs w:val="0"/>
          <w:i w:val="0"/>
          <w:sz w:val="26"/>
          <w:szCs w:val="26"/>
        </w:rPr>
      </w:r>
      <w:r>
        <w:rPr>
          <w:bCs w:val="0"/>
          <w:i w:val="0"/>
          <w:sz w:val="26"/>
          <w:szCs w:val="26"/>
        </w:rPr>
      </w:r>
    </w:p>
    <w:p>
      <w:pPr>
        <w:ind w:left="0" w:firstLine="0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498" w:type="dxa"/>
        <w:tblInd w:w="-142" w:type="dxa"/>
        <w:tblBorders>
          <w:top w:val="single" w:color="auto" w:sz="4" w:space="0"/>
          <w:insideH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>
        <w:tblPrEx/>
        <w:trPr>
          <w:trHeight w:val="783"/>
        </w:trPr>
        <w:tc>
          <w:tcPr>
            <w:shd w:val="clear" w:color="auto" w:fill="auto"/>
            <w:tcMar>
              <w:top w:w="284" w:type="dxa"/>
            </w:tcMar>
            <w:tcW w:w="9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t xml:space="preserve">Группа «Россети» – один из крупнейших в мире электросетевых холдингов, обеспечивающий электроснабжение потребителей в 82 регионах России. В управлении находятся 2,6 млн км линий электропередачи и электрические подстанции общей мощностью 886 тыс. МВА. По се</w:t>
            </w:r>
            <w:r>
              <w:rPr>
                <w:rFonts w:ascii="Arial Narrow" w:hAnsi="Arial Narrow"/>
              </w:rPr>
              <w:t xml:space="preserve">тям Группы «Россети» передается более 80 % всей вырабатываемой в стране электроэнергии.</w:t>
              <w:br/>
              <w:t xml:space="preserve">В состав Группы входят 39 дочерних и зависимых обществ, в том числе 17 сетевых компаний. Общая численность персонала составляет порядка 235 тыс. человек.</w: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Контролирующим</w:t>
            </w:r>
            <w:r>
              <w:rPr>
                <w:rFonts w:ascii="Arial Narrow" w:hAnsi="Arial Narrow"/>
              </w:rPr>
              <w:t xml:space="preserve"> акционером материнской компании – ПАО «Россети» – является государство в лице Федерального агентства по управлению государственным имуществом. </w: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highlight w:val="none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jc w:val="both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«</w:t>
            </w:r>
            <w:r>
              <w:rPr>
                <w:rFonts w:ascii="Arial Narrow" w:hAnsi="Arial Narrow"/>
              </w:rPr>
              <w:t xml:space="preserve">Россети» в </w:t>
            </w:r>
            <w:hyperlink r:id="rId9" w:tooltip="https://max.ru/rosseti_official" w:history="1">
              <w:r>
                <w:rPr>
                  <w:rStyle w:val="839"/>
                  <w:rFonts w:ascii="Arial Narrow" w:hAnsi="Arial Narrow"/>
                </w:rPr>
                <w:t xml:space="preserve">MAX</w:t>
              </w:r>
            </w:hyperlink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«Россети Урал» является дочерним о</w:t>
            </w:r>
            <w:r>
              <w:rPr>
                <w:rFonts w:ascii="Arial Narrow" w:hAnsi="Arial Narrow"/>
              </w:rPr>
              <w:t xml:space="preserve">бществом ПАО «Россети», осуществляющим распределение электр</w:t>
            </w:r>
            <w:r>
              <w:rPr>
                <w:rFonts w:ascii="Arial Narrow" w:hAnsi="Arial Narrow"/>
              </w:rPr>
              <w:t xml:space="preserve">оэнергии на территории Свердловской, Челябинской областей и Пермского края. «Россети Урал» - единая операционная компания Уральского региона. Крупнейшая электросетевая компания Урала и Прикамья. Производственный потенциал группы «Россети Урал» состоит из 4</w:t>
            </w:r>
            <w:r>
              <w:rPr>
                <w:rFonts w:ascii="Arial Narrow" w:hAnsi="Arial Narrow"/>
              </w:rPr>
              <w:t xml:space="preserve">5,8 тыс. подстанций общей мощностью порядка 45,9 ГВА, протяженность воздушных и кабельных линий электропередачи – более 161 тыс. км.</w: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Общая площадь территории деятельности – 442,9 тыс. кв. км с населением более 10 млн. человек. Численность персонала в сетев</w:t>
            </w:r>
            <w:r>
              <w:rPr>
                <w:rFonts w:ascii="Arial Narrow" w:hAnsi="Arial Narrow"/>
              </w:rPr>
              <w:t xml:space="preserve">ом хозяйстве – порядка 15 тыс. человек.</w: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«Россети Урал» в </w:t>
            </w:r>
            <w:hyperlink r:id="rId10" w:tooltip="https://max.ru/rosseti_ural" w:history="1">
              <w:r>
                <w:rPr>
                  <w:rStyle w:val="839"/>
                  <w:rFonts w:ascii="Arial Narrow" w:hAnsi="Arial Narrow"/>
                  <w:lang w:val="en-US"/>
                </w:rPr>
                <w:t xml:space="preserve">MAX</w:t>
              </w:r>
            </w:hyperlink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ind w:left="3"/>
              <w:jc w:val="both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  <w:tr>
        <w:tblPrEx/>
        <w:trPr>
          <w:trHeight w:val="22"/>
        </w:trPr>
        <w:tc>
          <w:tcPr>
            <w:shd w:val="clear" w:color="auto" w:fill="auto"/>
            <w:tcMar>
              <w:top w:w="284" w:type="dxa"/>
            </w:tcMar>
            <w:tcW w:w="94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4" w:right="851" w:bottom="1134" w:left="1843" w:header="709" w:footer="709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enisova-KYu" w:date="2026-02-10T13:14:43Z" w:initials="D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Подскажите, пожалуйста, как называется эта программа. Или мы верно указали?</w:t>
      </w:r>
    </w:p>
  </w:comment>
  <w:comment w:id="1" w:author="Sushintsev-AL" w:date="2026-02-10T15:52:08Z" w:initials="S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инвестиционная программа по обновлению автотранспорта и специальной техники.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paraIdParent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26EE965" w16cex:dateUtc="2026-02-10T08:14:43Z"/>
  <w16cex:commentExtensible w16cex:durableId="5FB98025" w16cex:dateUtc="2026-02-10T10:52:0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26EE965"/>
  <w16cid:commentId w16cid:paraId="00000002" w16cid:durableId="5FB980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F Din Text Cond Pro Light">
    <w:panose1 w:val="02000000000000000000"/>
  </w:font>
  <w:font w:name="Segoe UI">
    <w:panose1 w:val="020B0502040204020203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shintsev-AL">
    <w15:presenceInfo w15:providerId="Teamlab" w15:userId="Sushintsev-AL"/>
  </w15:person>
  <w15:person w15:author="Denisova-KYu">
    <w15:presenceInfo w15:providerId="Teamlab" w15:userId="Denisova-KY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33" w:default="1">
    <w:name w:val="Default Paragraph Font"/>
    <w:uiPriority w:val="1"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rmal (Web)"/>
    <w:basedOn w:val="83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37">
    <w:name w:val="Balloon Text"/>
    <w:basedOn w:val="832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Segoe UI" w:hAnsi="Segoe UI" w:eastAsia="Calibri" w:cs="Segoe UI"/>
      <w:sz w:val="18"/>
      <w:szCs w:val="18"/>
    </w:rPr>
  </w:style>
  <w:style w:type="character" w:styleId="839">
    <w:name w:val="Hyperlink"/>
    <w:basedOn w:val="833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max.ru/rosseti_official" TargetMode="External"/><Relationship Id="rId10" Type="http://schemas.openxmlformats.org/officeDocument/2006/relationships/hyperlink" Target="https://max.ru/rosseti_ural" TargetMode="External"/><Relationship Id="rId11" Type="http://schemas.openxmlformats.org/officeDocument/2006/relationships/comments" Target="comments.xml" /><Relationship Id="rId12" Type="http://schemas.microsoft.com/office/2011/relationships/commentsExtended" Target="commentsExtended.xml" /><Relationship Id="rId13" Type="http://schemas.microsoft.com/office/2018/08/relationships/commentsExtensible" Target="commentsExtensible.xml" /><Relationship Id="rId14" Type="http://schemas.microsoft.com/office/2016/09/relationships/commentsIds" Target="commentsIds.xml" /><Relationship Id="rId15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МРСК Урала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Зудова Марина Леонидовна</dc:creator>
  <cp:keywords/>
  <dc:description/>
  <cp:lastModifiedBy>Vdovichenko-DV</cp:lastModifiedBy>
  <cp:revision>64</cp:revision>
  <dcterms:created xsi:type="dcterms:W3CDTF">2025-08-08T09:47:00Z</dcterms:created>
  <dcterms:modified xsi:type="dcterms:W3CDTF">2026-02-24T08:21:28Z</dcterms:modified>
</cp:coreProperties>
</file>