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1"/>
        <w:ind w:firstLine="708"/>
        <w:jc w:val="center"/>
        <w:spacing w:before="0" w:after="0" w:line="240" w:lineRule="auto"/>
        <w:rPr>
          <w:rFonts w:ascii="Segoe UI" w:hAnsi="Segoe UI" w:eastAsia="Arial" w:cs="Segoe UI" w:eastAsiaTheme="minorEastAsia"/>
          <w:sz w:val="28"/>
          <w:szCs w:val="28"/>
          <w:lang w:eastAsia="sk-SK"/>
        </w:rPr>
      </w:pPr>
      <w:r>
        <w:rPr>
          <w:rFonts w:ascii="Segoe UI" w:hAnsi="Segoe UI" w:eastAsia="Arial" w:cs="Segoe UI" w:eastAsiaTheme="minorEastAsia"/>
          <w:sz w:val="28"/>
          <w:szCs w:val="28"/>
          <w:lang w:eastAsia="sk-SK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-3.00pt;mso-position-horizontal:absolute;mso-position-vertical-relative:text;margin-top:-24.00pt;mso-position-vertical:absolute;width:212.00pt;height:77.2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bookmarkStart w:id="1" w:name="undefined"/>
      <w:r/>
      <w:bookmarkEnd w:id="1"/>
      <w:r>
        <w:rPr>
          <w:rFonts w:ascii="Segoe UI" w:hAnsi="Segoe UI" w:eastAsia="Arial" w:cs="Segoe UI" w:eastAsiaTheme="minorEastAsia"/>
          <w:sz w:val="28"/>
          <w:szCs w:val="28"/>
          <w:lang w:eastAsia="sk-SK"/>
        </w:rPr>
      </w:r>
      <w:r>
        <w:rPr>
          <w:rFonts w:ascii="Segoe UI" w:hAnsi="Segoe UI" w:eastAsia="Arial" w:cs="Segoe UI" w:eastAsiaTheme="minorEastAsia"/>
          <w:sz w:val="28"/>
          <w:szCs w:val="28"/>
          <w:lang w:eastAsia="sk-SK"/>
        </w:rPr>
      </w:r>
    </w:p>
    <w:p>
      <w:pPr>
        <w:pStyle w:val="781"/>
        <w:ind w:firstLine="708"/>
        <w:jc w:val="right"/>
        <w:spacing w:before="0" w:after="0" w:line="240" w:lineRule="auto"/>
        <w:rPr>
          <w:rFonts w:ascii="Segoe UI" w:hAnsi="Segoe UI" w:eastAsia="Arial" w:cs="Segoe UI" w:eastAsiaTheme="minorEastAsia"/>
          <w:sz w:val="28"/>
          <w:szCs w:val="28"/>
          <w:lang w:eastAsia="sk-SK"/>
        </w:rPr>
      </w:pPr>
      <w:r>
        <w:rPr>
          <w:rFonts w:ascii="Segoe UI" w:hAnsi="Segoe UI" w:eastAsia="Arial" w:cs="Segoe UI" w:eastAsiaTheme="minorEastAsia"/>
          <w:sz w:val="28"/>
          <w:szCs w:val="28"/>
          <w:lang w:eastAsia="sk-SK"/>
        </w:rPr>
      </w:r>
      <w:r>
        <w:rPr>
          <w:rFonts w:ascii="Segoe UI" w:hAnsi="Segoe UI" w:eastAsia="Arial" w:cs="Segoe UI" w:eastAsiaTheme="minorEastAsia"/>
          <w:sz w:val="28"/>
          <w:szCs w:val="28"/>
          <w:lang w:eastAsia="sk-SK"/>
        </w:rPr>
      </w:r>
      <w:r>
        <w:rPr>
          <w:rFonts w:ascii="Segoe UI" w:hAnsi="Segoe UI" w:eastAsia="Arial" w:cs="Segoe UI" w:eastAsiaTheme="minorEastAsia"/>
          <w:sz w:val="28"/>
          <w:szCs w:val="28"/>
          <w:lang w:eastAsia="sk-SK"/>
        </w:rPr>
      </w:r>
    </w:p>
    <w:p>
      <w:pPr>
        <w:pStyle w:val="781"/>
        <w:jc w:val="center"/>
        <w:rPr>
          <w:rFonts w:ascii="Segoe UI" w:hAnsi="Segoe UI" w:eastAsia="Segoe UI" w:cs="Segoe UI"/>
          <w:b/>
          <w:bCs/>
        </w:rPr>
      </w:pPr>
      <w:r>
        <w:rPr>
          <w:rFonts w:ascii="Segoe UI" w:hAnsi="Segoe UI" w:eastAsia="Arial" w:cs="Segoe UI" w:eastAsiaTheme="minorEastAsia"/>
          <w:b/>
          <w:sz w:val="28"/>
          <w:szCs w:val="28"/>
          <w:lang w:eastAsia="sk-SK"/>
        </w:rPr>
        <w:t xml:space="preserve">                                                                                                </w:t>
      </w:r>
      <w:r>
        <w:rPr>
          <w:rFonts w:ascii="Segoe UI" w:hAnsi="Segoe UI" w:eastAsia="Arial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eastAsia="Segoe UI" w:cs="Segoe UI"/>
          <w:b/>
          <w:bCs/>
        </w:rPr>
      </w:r>
      <w:r>
        <w:rPr>
          <w:rFonts w:ascii="Segoe UI" w:hAnsi="Segoe UI" w:eastAsia="Segoe UI" w:cs="Segoe UI"/>
          <w:b/>
          <w:bCs/>
        </w:rPr>
      </w:r>
    </w:p>
    <w:p>
      <w:pPr>
        <w:pStyle w:val="781"/>
        <w:jc w:val="center"/>
        <w:rPr>
          <w:rFonts w:ascii="Segoe UI" w:hAnsi="Segoe UI" w:cs="Segoe UI"/>
          <w:b/>
          <w:bCs/>
          <w:highlight w:val="none"/>
        </w:rPr>
      </w:pPr>
      <w:r>
        <w:rPr>
          <w:rFonts w:ascii="Segoe UI" w:hAnsi="Segoe UI" w:eastAsia="Segoe UI" w:cs="Segoe UI"/>
          <w:b/>
          <w:bCs/>
          <w:sz w:val="24"/>
          <w:szCs w:val="24"/>
        </w:rPr>
        <w:t xml:space="preserve">Свердловский Росреестр подвел итоги проведения комплексных </w:t>
        <w:br/>
        <w:t xml:space="preserve">кадастровых работ за 2025 год </w:t>
      </w:r>
      <w:r>
        <w:rPr>
          <w:rFonts w:ascii="Segoe UI" w:hAnsi="Segoe UI" w:eastAsia="Segoe UI" w:cs="Segoe UI"/>
          <w:b/>
          <w:bCs/>
        </w:rPr>
        <w:t xml:space="preserve"> </w:t>
      </w:r>
      <w:r>
        <w:rPr>
          <w:rFonts w:ascii="Segoe UI" w:hAnsi="Segoe UI" w:cs="Segoe UI"/>
          <w:b/>
          <w:bCs/>
          <w:highlight w:val="none"/>
        </w:rPr>
      </w:r>
      <w:r>
        <w:rPr>
          <w:rFonts w:ascii="Segoe UI" w:hAnsi="Segoe UI" w:cs="Segoe UI"/>
          <w:b/>
          <w:bCs/>
          <w:highlight w:val="none"/>
        </w:rPr>
      </w:r>
    </w:p>
    <w:p>
      <w:pPr>
        <w:pStyle w:val="781"/>
        <w:ind w:left="0" w:right="0" w:firstLine="425"/>
        <w:jc w:val="both"/>
        <w:rPr>
          <w:rFonts w:ascii="Segoe UI" w:hAnsi="Segoe UI" w:cs="Segoe UI"/>
          <w:b w:val="0"/>
          <w:bCs w:val="0"/>
          <w:sz w:val="24"/>
          <w:szCs w:val="24"/>
          <w:highlight w:val="none"/>
        </w:rPr>
      </w:pPr>
      <w:r>
        <w:rPr>
          <w:rFonts w:ascii="Segoe UI" w:hAnsi="Segoe UI" w:eastAsia="Segoe UI" w:cs="Segoe UI"/>
          <w:b w:val="0"/>
          <w:bCs w:val="0"/>
          <w:sz w:val="24"/>
          <w:szCs w:val="24"/>
        </w:rPr>
        <w:t xml:space="preserve">В 2025 году в Свердловской области комплексные кадастровые работы выполнены в отношении всех запланированных кварталов. Результаты в полном объеме внесены в Единый государственный реестр недвижимости (ЕГРН).</w:t>
      </w:r>
      <w:r>
        <w:rPr>
          <w:rFonts w:ascii="Segoe UI" w:hAnsi="Segoe UI" w:cs="Segoe UI"/>
          <w:b w:val="0"/>
          <w:bCs w:val="0"/>
          <w:sz w:val="24"/>
          <w:szCs w:val="24"/>
          <w:highlight w:val="none"/>
        </w:rPr>
      </w:r>
      <w:r>
        <w:rPr>
          <w:rFonts w:ascii="Segoe UI" w:hAnsi="Segoe UI" w:cs="Segoe UI"/>
          <w:b w:val="0"/>
          <w:bCs w:val="0"/>
          <w:sz w:val="24"/>
          <w:szCs w:val="24"/>
          <w:highlight w:val="none"/>
        </w:rPr>
      </w:r>
    </w:p>
    <w:p>
      <w:pPr>
        <w:pStyle w:val="781"/>
        <w:ind w:left="0" w:right="0" w:firstLine="425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«Работы проведены в отношении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4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8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2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2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3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 объектов недвижимости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: уточнены границы около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1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2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4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8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6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 земельных участков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 и более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2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1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1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3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7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  объектов капитального строительства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, образовано около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5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0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9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4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 земельных участков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, исправлено более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9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5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0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6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реестровых ошибок</w:t>
      </w:r>
      <w:r>
        <w:rPr>
          <w:rFonts w:ascii="Segoe UI" w:hAnsi="Segoe UI" w:eastAsia="Segoe UI" w:cs="Segoe UI"/>
          <w:b w:val="0"/>
          <w:bCs w:val="0"/>
          <w:i/>
          <w:iCs/>
          <w:color w:val="000000" w:themeColor="text1"/>
          <w:sz w:val="24"/>
          <w:szCs w:val="24"/>
          <w:highlight w:val="white"/>
        </w:rPr>
        <w:t xml:space="preserve">»</w:t>
      </w:r>
      <w:r>
        <w:rPr>
          <w:rFonts w:ascii="Segoe UI" w:hAnsi="Segoe UI" w:eastAsia="Segoe UI" w:cs="Segoe UI"/>
          <w:b w:val="0"/>
          <w:bCs w:val="0"/>
          <w:color w:val="000000" w:themeColor="text1"/>
          <w:sz w:val="24"/>
          <w:szCs w:val="24"/>
          <w:highlight w:val="white"/>
        </w:rPr>
        <w:t xml:space="preserve">, - подвела итоги заместитель руководителя Управления Росреестра по свердловской области </w:t>
      </w:r>
      <w:r>
        <w:rPr>
          <w:rFonts w:ascii="Segoe UI" w:hAnsi="Segoe UI" w:eastAsia="Segoe UI" w:cs="Segoe UI"/>
          <w:b/>
          <w:bCs/>
          <w:color w:val="000000" w:themeColor="text1"/>
          <w:sz w:val="24"/>
          <w:szCs w:val="24"/>
          <w:highlight w:val="white"/>
        </w:rPr>
        <w:t xml:space="preserve">Татьяна Янтюшева.</w:t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781"/>
        <w:ind w:left="0" w:right="0" w:firstLine="425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b w:val="0"/>
          <w:bCs w:val="0"/>
          <w:sz w:val="24"/>
          <w:szCs w:val="24"/>
        </w:rPr>
        <w:t xml:space="preserve">Комплексные кадастровые работы </w:t>
      </w:r>
      <w:r>
        <w:rPr>
          <w:rFonts w:ascii="Segoe UI" w:hAnsi="Segoe UI" w:eastAsia="Segoe UI" w:cs="Segoe UI"/>
          <w:color w:val="000000"/>
          <w:sz w:val="24"/>
          <w:szCs w:val="24"/>
          <w:highlight w:val="white"/>
        </w:rPr>
        <w:t xml:space="preserve">проводятся в отношении </w:t>
      </w:r>
      <w:r>
        <w:rPr>
          <w:rFonts w:ascii="Segoe UI" w:hAnsi="Segoe UI" w:eastAsia="Segoe UI" w:cs="Segoe UI"/>
          <w:color w:val="000000"/>
          <w:sz w:val="24"/>
          <w:szCs w:val="24"/>
          <w:highlight w:val="white"/>
        </w:rPr>
        <w:t xml:space="preserve">всех участков и объектов капитального строительства, расположенных на территории одного или нескольких кадастровых кварталов (садовые или огородные товарищества, гаражные кооперативы, коттеджные поселки, территории товарищества собственников недвижимости).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81"/>
        <w:ind w:left="0" w:right="0" w:firstLine="425"/>
        <w:jc w:val="both"/>
        <w:rPr>
          <w:rFonts w:ascii="Segoe UI" w:hAnsi="Segoe UI" w:cs="Segoe UI"/>
          <w:b w:val="0"/>
          <w:bCs w:val="0"/>
          <w:sz w:val="24"/>
          <w:szCs w:val="24"/>
          <w:highlight w:val="none"/>
        </w:rPr>
      </w:pPr>
      <w:r>
        <w:rPr>
          <w:rFonts w:ascii="Segoe UI" w:hAnsi="Segoe UI" w:eastAsia="Segoe UI" w:cs="Segoe UI"/>
          <w:b w:val="0"/>
          <w:bCs w:val="0"/>
          <w:i/>
          <w:iCs/>
          <w:sz w:val="24"/>
          <w:szCs w:val="24"/>
        </w:rPr>
        <w:t xml:space="preserve">«В результате выполнения комплексных кадастровых работ осуществляется уточнение местоположения</w:t>
      </w:r>
      <w:r>
        <w:rPr>
          <w:rFonts w:ascii="Segoe UI" w:hAnsi="Segoe UI" w:eastAsia="Segoe UI" w:cs="Segoe UI"/>
          <w:b w:val="0"/>
          <w:bCs w:val="0"/>
          <w:i/>
          <w:iCs/>
          <w:sz w:val="24"/>
          <w:szCs w:val="24"/>
        </w:rPr>
        <w:t xml:space="preserve"> границ земельных участков, расположенных на них зданий, сооружений, объектов незавершенного строительства, также исправление реестровых ошибок в сведениях о местоположении границ объектов недвижимости и осуществляется образование новых земельных участков»</w:t>
      </w:r>
      <w:r>
        <w:rPr>
          <w:rFonts w:ascii="Segoe UI" w:hAnsi="Segoe UI" w:eastAsia="Segoe UI" w:cs="Segoe UI"/>
          <w:b w:val="0"/>
          <w:bCs w:val="0"/>
          <w:sz w:val="24"/>
          <w:szCs w:val="24"/>
        </w:rPr>
        <w:t xml:space="preserve">, - сообщила заместитель директора филиала публично-правой компании «Роскадастр» по УрФО </w:t>
      </w:r>
      <w:r>
        <w:rPr>
          <w:rFonts w:ascii="Segoe UI" w:hAnsi="Segoe UI" w:eastAsia="Segoe UI" w:cs="Segoe UI"/>
          <w:b/>
          <w:bCs/>
          <w:sz w:val="24"/>
          <w:szCs w:val="24"/>
        </w:rPr>
        <w:t xml:space="preserve">Марина Емельянова</w:t>
      </w:r>
      <w:r>
        <w:rPr>
          <w:rFonts w:ascii="Segoe UI" w:hAnsi="Segoe UI" w:eastAsia="Segoe UI" w:cs="Segoe UI"/>
          <w:b w:val="0"/>
          <w:bCs w:val="0"/>
          <w:sz w:val="24"/>
          <w:szCs w:val="24"/>
        </w:rPr>
        <w:t xml:space="preserve">.</w:t>
      </w:r>
      <w:r>
        <w:rPr>
          <w:rFonts w:ascii="Segoe UI" w:hAnsi="Segoe UI" w:cs="Segoe UI"/>
          <w:b w:val="0"/>
          <w:bCs w:val="0"/>
          <w:sz w:val="24"/>
          <w:szCs w:val="24"/>
          <w:highlight w:val="none"/>
        </w:rPr>
      </w:r>
      <w:r>
        <w:rPr>
          <w:rFonts w:ascii="Segoe UI" w:hAnsi="Segoe UI" w:cs="Segoe UI"/>
          <w:b w:val="0"/>
          <w:bCs w:val="0"/>
          <w:sz w:val="24"/>
          <w:szCs w:val="24"/>
          <w:highlight w:val="none"/>
        </w:rPr>
      </w:r>
    </w:p>
    <w:p>
      <w:pPr>
        <w:pStyle w:val="781"/>
        <w:ind w:left="0" w:right="0" w:firstLine="425"/>
        <w:jc w:val="both"/>
        <w:rPr>
          <w:rFonts w:ascii="Segoe UI" w:hAnsi="Segoe UI" w:eastAsia="Segoe UI" w:cs="Segoe UI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Segoe UI" w:hAnsi="Segoe UI" w:eastAsia="Segoe UI" w:cs="Segoe UI"/>
          <w:b w:val="0"/>
          <w:bCs w:val="0"/>
          <w:sz w:val="24"/>
          <w:szCs w:val="24"/>
        </w:rPr>
        <w:t xml:space="preserve">Узнать, где проводятся комплексные кадастровые работы, их сроки и исполнителей, можно с помощью Публичной кадастровой карты на официальном сайте Росреестра: </w:t>
      </w:r>
      <w:hyperlink r:id="rId9" w:tooltip="https://nspd.gov.ru/complex-cadastral-works/map?zoom=8.850653329426315&amp;coordinate_x=6723278.357972571&amp;coordinate_y=7729882.777444684&amp;baseLayerId=235" w:history="1">
        <w:r>
          <w:rPr>
            <w:rStyle w:val="807"/>
            <w:rFonts w:ascii="Segoe UI" w:hAnsi="Segoe UI" w:eastAsia="Segoe UI" w:cs="Segoe UI"/>
            <w:b w:val="0"/>
            <w:bCs w:val="0"/>
            <w:sz w:val="24"/>
            <w:szCs w:val="24"/>
          </w:rPr>
          <w:t xml:space="preserve">nspd.gov.ru</w:t>
        </w:r>
      </w:hyperlink>
      <w:r>
        <w:rPr>
          <w:rFonts w:ascii="Segoe UI" w:hAnsi="Segoe UI" w:eastAsia="Segoe UI" w:cs="Segoe UI"/>
          <w:b w:val="0"/>
          <w:bCs w:val="0"/>
          <w:color w:val="000000" w:themeColor="text1"/>
          <w:sz w:val="24"/>
          <w:szCs w:val="24"/>
        </w:rPr>
        <w:t xml:space="preserve"> (раздел «комплексные кадастровые работы», в «поиске территорий для выполнения комплексных кадастровых работ» нажать на интересующий кадастровый квартал). </w:t>
      </w:r>
      <w:r>
        <w:rPr>
          <w:rFonts w:ascii="Segoe UI" w:hAnsi="Segoe UI" w:eastAsia="Segoe UI" w:cs="Segoe UI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Segoe UI" w:hAnsi="Segoe UI" w:eastAsia="Segoe UI" w:cs="Segoe UI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781"/>
        <w:ind w:left="0" w:right="0" w:firstLine="425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b w:val="0"/>
          <w:bCs w:val="0"/>
          <w:color w:val="000000" w:themeColor="text1"/>
          <w:sz w:val="24"/>
          <w:szCs w:val="24"/>
        </w:rPr>
        <w:t xml:space="preserve">Напомним, что уточнение границ поможет исправить возможные ошибки, в том числе в сведениях о фактически используе</w:t>
      </w:r>
      <w:r>
        <w:rPr>
          <w:rFonts w:ascii="Segoe UI" w:hAnsi="Segoe UI" w:eastAsia="Segoe UI" w:cs="Segoe UI"/>
          <w:b w:val="0"/>
          <w:bCs w:val="0"/>
          <w:color w:val="000000" w:themeColor="text1"/>
          <w:sz w:val="24"/>
          <w:szCs w:val="24"/>
        </w:rPr>
        <w:t xml:space="preserve">мой площади. Она может отличаться от той, что указана в сведениях ЕГРН. Кроме того, ошибочные сведения о площади участка могут стать причиной неверного определения его кадастровой стоимости и, как следствие, неверного определения размера земельного налога.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81"/>
        <w:jc w:val="both"/>
        <w:spacing w:line="276" w:lineRule="auto"/>
        <w:rPr>
          <w:rFonts w:ascii="Segoe UI" w:hAnsi="Segoe UI" w:eastAsia="Arial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eastAsia="Arial" w:cs="Segoe UI" w:eastAsiaTheme="minorEastAsia"/>
          <w:b/>
          <w:sz w:val="18"/>
          <w:szCs w:val="1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9050" distL="0" distR="19050" simplePos="0" relativeHeight="3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635"/>
                <wp:effectExtent l="8255" t="8890" r="8890" b="8255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2" type="#_x0000_t32" style="position:absolute;z-index:3;o:allowoverlap:true;o:allowincell:false;mso-position-horizontal-relative:margin;mso-position-horizontal:left;mso-position-vertical-relative:text;margin-top:0.85pt;mso-position-vertical:absolute;width:472.50pt;height:0.05pt;mso-wrap-distance-left:0.00pt;mso-wrap-distance-top:0.00pt;mso-wrap-distance-right:1.50pt;mso-wrap-distance-bottom:1.50pt;visibility:visible;" filled="f" strokecolor="#0070C0" strokeweight="1.25pt"/>
            </w:pict>
          </mc:Fallback>
        </mc:AlternateContent>
      </w:r>
      <w:r>
        <w:rPr>
          <w:rFonts w:ascii="Segoe UI" w:hAnsi="Segoe UI" w:eastAsia="Arial" w:cs="Segoe UI" w:eastAsiaTheme="minorEastAsia"/>
          <w:b/>
          <w:sz w:val="18"/>
          <w:szCs w:val="18"/>
          <w:lang w:eastAsia="ru-RU"/>
        </w:rPr>
      </w:r>
      <w:r>
        <w:rPr>
          <w:rFonts w:ascii="Segoe UI" w:hAnsi="Segoe UI" w:eastAsia="Arial" w:cs="Segoe UI" w:eastAsiaTheme="minorEastAsia"/>
          <w:b/>
          <w:sz w:val="18"/>
          <w:szCs w:val="18"/>
          <w:lang w:eastAsia="ru-RU"/>
        </w:rPr>
      </w:r>
    </w:p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pStyle w:val="781"/>
        <w:jc w:val="both"/>
        <w:spacing w:before="0"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</w:r>
    </w:p>
    <w:p>
      <w:pPr>
        <w:pStyle w:val="781"/>
        <w:ind w:left="0" w:right="0" w:firstLine="709"/>
        <w:jc w:val="both"/>
        <w:spacing w:before="0" w:after="0" w:line="288" w:lineRule="atLeast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781"/>
        <w:ind w:left="0" w:right="0" w:firstLine="425"/>
        <w:jc w:val="both"/>
        <w:spacing w:before="0" w:after="200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</w:r>
      <w:r>
        <w:rPr>
          <w:rFonts w:ascii="Segoe UI" w:hAnsi="Segoe UI" w:cs="Segoe UI"/>
          <w:color w:val="000000" w:themeColor="text1"/>
          <w:sz w:val="24"/>
          <w:szCs w:val="24"/>
        </w:rPr>
      </w:r>
      <w:r>
        <w:rPr>
          <w:rFonts w:ascii="Segoe UI" w:hAnsi="Segoe UI" w:cs="Segoe UI"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table" w:styleId="65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9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9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9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5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6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6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1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2">
    <w:name w:val="Heading 1"/>
    <w:basedOn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3">
    <w:name w:val="Heading 2"/>
    <w:basedOn w:val="7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4">
    <w:name w:val="Heading 3"/>
    <w:basedOn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5">
    <w:name w:val="Heading 4"/>
    <w:basedOn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6">
    <w:name w:val="Heading 5"/>
    <w:basedOn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2">
    <w:name w:val="Heading 2 Char"/>
    <w:uiPriority w:val="9"/>
    <w:qFormat/>
    <w:rPr>
      <w:rFonts w:ascii="Arial" w:hAnsi="Arial" w:eastAsia="Arial" w:cs="Arial"/>
      <w:sz w:val="34"/>
    </w:rPr>
  </w:style>
  <w:style w:type="character" w:styleId="793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4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5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6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7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8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9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0">
    <w:name w:val="Title Char"/>
    <w:uiPriority w:val="10"/>
    <w:qFormat/>
    <w:rPr>
      <w:sz w:val="48"/>
      <w:szCs w:val="48"/>
    </w:rPr>
  </w:style>
  <w:style w:type="character" w:styleId="801">
    <w:name w:val="Subtitle Char"/>
    <w:uiPriority w:val="11"/>
    <w:qFormat/>
    <w:rPr>
      <w:sz w:val="24"/>
      <w:szCs w:val="24"/>
    </w:rPr>
  </w:style>
  <w:style w:type="character" w:styleId="802">
    <w:name w:val="Quote Char"/>
    <w:uiPriority w:val="29"/>
    <w:qFormat/>
    <w:rPr>
      <w:i/>
    </w:rPr>
  </w:style>
  <w:style w:type="character" w:styleId="803">
    <w:name w:val="Intense Quote Char"/>
    <w:uiPriority w:val="30"/>
    <w:qFormat/>
    <w:rPr>
      <w:i/>
    </w:rPr>
  </w:style>
  <w:style w:type="character" w:styleId="804">
    <w:name w:val="Header Char"/>
    <w:uiPriority w:val="99"/>
    <w:qFormat/>
  </w:style>
  <w:style w:type="character" w:styleId="805">
    <w:name w:val="Footer Char"/>
    <w:uiPriority w:val="99"/>
    <w:qFormat/>
  </w:style>
  <w:style w:type="character" w:styleId="806">
    <w:name w:val="Caption Char"/>
    <w:uiPriority w:val="99"/>
    <w:qFormat/>
  </w:style>
  <w:style w:type="character" w:styleId="807">
    <w:name w:val="Hyperlink"/>
    <w:uiPriority w:val="99"/>
    <w:unhideWhenUsed/>
    <w:rPr>
      <w:color w:val="0000ff" w:themeColor="hyperlink"/>
      <w:u w:val="single"/>
    </w:rPr>
  </w:style>
  <w:style w:type="character" w:styleId="808">
    <w:name w:val="Footnote Text Char"/>
    <w:uiPriority w:val="99"/>
    <w:qFormat/>
    <w:rPr>
      <w:sz w:val="18"/>
    </w:rPr>
  </w:style>
  <w:style w:type="character" w:styleId="809">
    <w:name w:val="Символ сноски"/>
    <w:uiPriority w:val="99"/>
    <w:unhideWhenUsed/>
    <w:qFormat/>
    <w:rPr>
      <w:vertAlign w:val="superscript"/>
    </w:rPr>
  </w:style>
  <w:style w:type="character" w:styleId="810">
    <w:name w:val="footnote reference"/>
    <w:rPr>
      <w:vertAlign w:val="superscript"/>
    </w:rPr>
  </w:style>
  <w:style w:type="character" w:styleId="811">
    <w:name w:val="Endnote Text Char"/>
    <w:uiPriority w:val="99"/>
    <w:qFormat/>
    <w:rPr>
      <w:sz w:val="20"/>
    </w:rPr>
  </w:style>
  <w:style w:type="character" w:styleId="8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3">
    <w:name w:val="endnote reference"/>
    <w:rPr>
      <w:vertAlign w:val="superscript"/>
    </w:rPr>
  </w:style>
  <w:style w:type="character" w:styleId="814" w:default="1">
    <w:name w:val="Default Paragraph Font"/>
    <w:uiPriority w:val="1"/>
    <w:semiHidden/>
    <w:unhideWhenUsed/>
    <w:qFormat/>
  </w:style>
  <w:style w:type="paragraph" w:styleId="815">
    <w:name w:val="Заголовок"/>
    <w:basedOn w:val="781"/>
    <w:next w:val="81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16">
    <w:name w:val="Body Text"/>
    <w:basedOn w:val="781"/>
    <w:pPr>
      <w:spacing w:before="0" w:after="140" w:line="276" w:lineRule="auto"/>
    </w:pPr>
  </w:style>
  <w:style w:type="paragraph" w:styleId="817">
    <w:name w:val="List"/>
    <w:basedOn w:val="816"/>
    <w:rPr>
      <w:rFonts w:ascii="PT Astra Serif" w:hAnsi="PT Astra Serif" w:cs="Noto Sans Devanagari"/>
    </w:rPr>
  </w:style>
  <w:style w:type="paragraph" w:styleId="818">
    <w:name w:val="Caption"/>
    <w:basedOn w:val="7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19">
    <w:name w:val="Указатель"/>
    <w:basedOn w:val="781"/>
    <w:qFormat/>
    <w:pPr>
      <w:suppressLineNumbers/>
    </w:pPr>
    <w:rPr>
      <w:rFonts w:ascii="PT Astra Serif" w:hAnsi="PT Astra Serif" w:cs="Noto Sans Devanagari"/>
    </w:rPr>
  </w:style>
  <w:style w:type="paragraph" w:styleId="820">
    <w:name w:val="Title"/>
    <w:basedOn w:val="78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1">
    <w:name w:val="Subtitle"/>
    <w:basedOn w:val="781"/>
    <w:uiPriority w:val="11"/>
    <w:qFormat/>
    <w:pPr>
      <w:spacing w:before="200" w:after="200"/>
    </w:pPr>
    <w:rPr>
      <w:sz w:val="24"/>
      <w:szCs w:val="24"/>
    </w:rPr>
  </w:style>
  <w:style w:type="paragraph" w:styleId="822">
    <w:name w:val="Quote"/>
    <w:basedOn w:val="781"/>
    <w:uiPriority w:val="29"/>
    <w:qFormat/>
    <w:pPr>
      <w:ind w:left="720" w:right="720"/>
    </w:pPr>
    <w:rPr>
      <w:i/>
    </w:rPr>
  </w:style>
  <w:style w:type="paragraph" w:styleId="823">
    <w:name w:val="Intense Quote"/>
    <w:basedOn w:val="781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4">
    <w:name w:val="Колонтитулы"/>
    <w:basedOn w:val="781"/>
    <w:qFormat/>
  </w:style>
  <w:style w:type="paragraph" w:styleId="825">
    <w:name w:val="Header"/>
    <w:basedOn w:val="78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6">
    <w:name w:val="Footer"/>
    <w:basedOn w:val="78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7">
    <w:name w:val="footnote text"/>
    <w:basedOn w:val="7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28">
    <w:name w:val="endnote text"/>
    <w:basedOn w:val="78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29">
    <w:name w:val="toc 1"/>
    <w:basedOn w:val="781"/>
    <w:uiPriority w:val="39"/>
    <w:unhideWhenUsed/>
    <w:pPr>
      <w:ind w:left="0" w:right="0" w:firstLine="0"/>
      <w:spacing w:before="0" w:after="57"/>
    </w:pPr>
  </w:style>
  <w:style w:type="paragraph" w:styleId="830">
    <w:name w:val="toc 2"/>
    <w:basedOn w:val="781"/>
    <w:uiPriority w:val="39"/>
    <w:unhideWhenUsed/>
    <w:pPr>
      <w:ind w:left="283" w:right="0" w:firstLine="0"/>
      <w:spacing w:before="0" w:after="57"/>
    </w:pPr>
  </w:style>
  <w:style w:type="paragraph" w:styleId="831">
    <w:name w:val="toc 3"/>
    <w:basedOn w:val="781"/>
    <w:uiPriority w:val="39"/>
    <w:unhideWhenUsed/>
    <w:pPr>
      <w:ind w:left="567" w:right="0" w:firstLine="0"/>
      <w:spacing w:before="0" w:after="57"/>
    </w:pPr>
  </w:style>
  <w:style w:type="paragraph" w:styleId="832">
    <w:name w:val="toc 4"/>
    <w:basedOn w:val="781"/>
    <w:uiPriority w:val="39"/>
    <w:unhideWhenUsed/>
    <w:pPr>
      <w:ind w:left="850" w:right="0" w:firstLine="0"/>
      <w:spacing w:before="0" w:after="57"/>
    </w:pPr>
  </w:style>
  <w:style w:type="paragraph" w:styleId="833">
    <w:name w:val="toc 5"/>
    <w:basedOn w:val="781"/>
    <w:uiPriority w:val="39"/>
    <w:unhideWhenUsed/>
    <w:pPr>
      <w:ind w:left="1134" w:right="0" w:firstLine="0"/>
      <w:spacing w:before="0" w:after="57"/>
    </w:pPr>
  </w:style>
  <w:style w:type="paragraph" w:styleId="834">
    <w:name w:val="toc 6"/>
    <w:basedOn w:val="781"/>
    <w:uiPriority w:val="39"/>
    <w:unhideWhenUsed/>
    <w:pPr>
      <w:ind w:left="1417" w:right="0" w:firstLine="0"/>
      <w:spacing w:before="0" w:after="57"/>
    </w:pPr>
  </w:style>
  <w:style w:type="paragraph" w:styleId="835">
    <w:name w:val="toc 7"/>
    <w:basedOn w:val="781"/>
    <w:uiPriority w:val="39"/>
    <w:unhideWhenUsed/>
    <w:pPr>
      <w:ind w:left="1701" w:right="0" w:firstLine="0"/>
      <w:spacing w:before="0" w:after="57"/>
    </w:pPr>
  </w:style>
  <w:style w:type="paragraph" w:styleId="836">
    <w:name w:val="toc 8"/>
    <w:basedOn w:val="781"/>
    <w:uiPriority w:val="39"/>
    <w:unhideWhenUsed/>
    <w:pPr>
      <w:ind w:left="1984" w:right="0" w:firstLine="0"/>
      <w:spacing w:before="0" w:after="57"/>
    </w:pPr>
  </w:style>
  <w:style w:type="paragraph" w:styleId="837">
    <w:name w:val="toc 9"/>
    <w:basedOn w:val="781"/>
    <w:uiPriority w:val="39"/>
    <w:unhideWhenUsed/>
    <w:pPr>
      <w:ind w:left="2268" w:right="0" w:firstLine="0"/>
      <w:spacing w:before="0" w:after="57"/>
    </w:pPr>
  </w:style>
  <w:style w:type="paragraph" w:styleId="838">
    <w:name w:val="index heading"/>
    <w:basedOn w:val="815"/>
  </w:style>
  <w:style w:type="paragraph" w:styleId="839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0">
    <w:name w:val="table of figures"/>
    <w:basedOn w:val="781"/>
    <w:uiPriority w:val="99"/>
    <w:unhideWhenUsed/>
    <w:pPr>
      <w:spacing w:before="0" w:after="0" w:afterAutospacing="0"/>
    </w:pPr>
  </w:style>
  <w:style w:type="paragraph" w:styleId="841">
    <w:name w:val="No Spacing"/>
    <w:basedOn w:val="781"/>
    <w:uiPriority w:val="1"/>
    <w:qFormat/>
    <w:pPr>
      <w:spacing w:before="0" w:after="0" w:line="240" w:lineRule="auto"/>
    </w:pPr>
  </w:style>
  <w:style w:type="paragraph" w:styleId="842">
    <w:name w:val="List Paragraph"/>
    <w:basedOn w:val="781"/>
    <w:uiPriority w:val="34"/>
    <w:qFormat/>
    <w:pPr>
      <w:contextualSpacing/>
      <w:ind w:left="720"/>
      <w:spacing w:before="0" w:after="200"/>
    </w:pPr>
  </w:style>
  <w:style w:type="numbering" w:styleId="843" w:default="1">
    <w:name w:val="Без списка"/>
    <w:uiPriority w:val="99"/>
    <w:semiHidden/>
    <w:unhideWhenUsed/>
    <w:qFormat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nspd.gov.ru/complex-cadastral-works/map?zoom=8.850653329426315&amp;coordinate_x=6723278.357972571&amp;coordinate_y=7729882.777444684&amp;baseLayerId=2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13</cp:revision>
  <dcterms:modified xsi:type="dcterms:W3CDTF">2026-02-05T05:14:04Z</dcterms:modified>
</cp:coreProperties>
</file>