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media/image1.png" ContentType="image/png"/>
  <Override PartName="/word/header5.xml" ContentType="application/vnd.openxmlformats-officedocument.wordprocessingml.header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before="0" w:after="0"/>
        <w:jc w:val="center"/>
        <w:textAlignment w:val="baseline"/>
        <w:rPr/>
      </w:pPr>
      <w:r>
        <w:rPr/>
        <w:drawing>
          <wp:inline distT="0" distB="0" distL="0" distR="0">
            <wp:extent cx="43815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overflowPunct w:val="true"/>
        <w:spacing w:before="0" w:after="0"/>
        <w:jc w:val="center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overflowPunct w:val="true"/>
        <w:spacing w:before="0" w:after="0"/>
        <w:jc w:val="center"/>
        <w:textAlignment w:val="baseline"/>
        <w:rPr/>
      </w:pPr>
      <w:r>
        <w:rPr>
          <w:rFonts w:ascii="Liberation Serif" w:hAnsi="Liberation Serif"/>
          <w:b/>
          <w:color w:val="000000"/>
          <w:sz w:val="28"/>
          <w:szCs w:val="28"/>
        </w:rPr>
        <w:t>Администрация Тугулымского муниципального округа</w:t>
      </w:r>
    </w:p>
    <w:p>
      <w:pPr>
        <w:pStyle w:val="Normal"/>
        <w:overflowPunct w:val="true"/>
        <w:spacing w:before="0" w:after="0"/>
        <w:jc w:val="center"/>
        <w:textAlignment w:val="baseline"/>
        <w:rPr/>
      </w:pPr>
      <w:r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</w:p>
    <w:p>
      <w:pPr>
        <w:pStyle w:val="Normal"/>
        <w:overflowPunct w:val="true"/>
        <w:spacing w:before="0" w:after="0"/>
        <w:jc w:val="center"/>
        <w:textAlignment w:val="baseline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</w:r>
    </w:p>
    <w:p>
      <w:pPr>
        <w:pStyle w:val="Normal"/>
        <w:overflowPunct w:val="true"/>
        <w:spacing w:before="0" w:after="0"/>
        <w:jc w:val="center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  <w:sz w:val="32"/>
          <w:szCs w:val="32"/>
        </w:rPr>
        <w:t>П О С Т А Н О В Л Е Н И Е</w:t>
      </w:r>
    </w:p>
    <w:tbl>
      <w:tblPr>
        <w:tblW w:w="9570" w:type="dxa"/>
        <w:jc w:val="start"/>
        <w:tblInd w:w="6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570"/>
      </w:tblGrid>
      <w:tr>
        <w:trPr>
          <w:trHeight w:val="345" w:hRule="atLeast"/>
        </w:trPr>
        <w:tc>
          <w:tcPr>
            <w:tcW w:w="9570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ind w:hanging="0" w:start="-113" w:end="113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от 19.01.2026                                          п.г.т. Тугулым                                                         № 1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bookmarkStart w:id="1" w:name="_Hlk219299890"/>
      <w:bookmarkStart w:id="2" w:name="_Hlk206066390"/>
      <w:r>
        <w:rPr>
          <w:b/>
          <w:sz w:val="24"/>
          <w:szCs w:val="24"/>
        </w:rPr>
        <w:t xml:space="preserve">Перечня мероприятий </w:t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Тугулымском муниципальном округе на 2026 год</w:t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реализации Комплексного плана </w:t>
      </w:r>
      <w:r>
        <w:rPr>
          <w:b/>
          <w:sz w:val="24"/>
          <w:szCs w:val="24"/>
        </w:rPr>
        <w:t xml:space="preserve">противодействия идеологии терроризма </w:t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Российской Федерации на 2024-2028 годы</w:t>
      </w:r>
      <w:bookmarkEnd w:id="2"/>
      <w:r>
        <w:rPr>
          <w:b/>
          <w:sz w:val="24"/>
          <w:szCs w:val="24"/>
        </w:rPr>
        <w:t xml:space="preserve">, утвержденного Президентом </w:t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Российской Федерации 30.12.2023 Пр-2610</w:t>
      </w:r>
      <w:bookmarkEnd w:id="1"/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Autospacing="0" w:before="0" w:afterAutospacing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firstLine="539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 марта 2006 года № 35-ФЗ «О противодействии терроризму», Комплексным планом противодействия идеологии терроризма в Российской Федерации на 2024 - 2028 годы, утверждённым Президентом Российской Федерации 30 декабря 2023 года № Пр-2610, с целью реализации государственной политики в сфере профилактики терроризма и экстремизма, минимизации и ликвидации последствий их проявлений на территории Тугулымского муниципального округа, руководствуясь Уставом Тугулымского муниципального округа, администрация Тугулымского муниципального округа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jc w:val="both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jc w:val="both"/>
        <w:outlineLvl w:val="0"/>
        <w:rPr>
          <w:b/>
          <w:sz w:val="28"/>
        </w:rPr>
      </w:pPr>
      <w:r>
        <w:rPr>
          <w:b/>
          <w:sz w:val="28"/>
        </w:rPr>
        <w:t>ПОСТАНОВЛЯЕТ: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jc w:val="both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Утвердить Перечень мероприятий в Тугулымском муниципальном округе на 2026 год по реализации Комплексного плана противодействия идеологии терроризма в Российской Федерации на 2024-2028 годы, утвержденного Президентом Российской Федерации 30.12.2023 Пр-2610 (Приложение № 1).</w:t>
      </w:r>
    </w:p>
    <w:p>
      <w:pPr>
        <w:pStyle w:val="Normal"/>
        <w:spacing w:lineRule="atLeast" w:line="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 Определить ответственным за организацию и контроль деятельности по исполнению</w:t>
      </w:r>
      <w:r>
        <w:rPr/>
        <w:t xml:space="preserve"> </w:t>
      </w:r>
      <w:r>
        <w:rPr>
          <w:sz w:val="24"/>
          <w:szCs w:val="24"/>
        </w:rPr>
        <w:t xml:space="preserve">Перечня мероприятий в Тугулымском муниципальном округе на 2026 год по реализации Комплексного плана противодействия идеологии терроризма в Российской Федерации на 2024-2028 годы, утвержденного Президентом Российской Федерации 30.12.2023 Пр-2610 (далее – Перечень мероприятий) отдел гражданской обороны и чрезвычайных ситуаций администрации Тугулымского муниципального округа. </w:t>
      </w:r>
    </w:p>
    <w:p>
      <w:pPr>
        <w:pStyle w:val="Normal"/>
        <w:spacing w:lineRule="atLeast" w:line="0" w:beforeAutospacing="0" w:before="0" w:afterAutospacing="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3. Начальнику Управления образования </w:t>
      </w:r>
      <w:bookmarkStart w:id="3" w:name="_Hlk206075780"/>
      <w:r>
        <w:rPr>
          <w:sz w:val="24"/>
          <w:szCs w:val="24"/>
        </w:rPr>
        <w:t>администрации Тугулымского муниципального округа</w:t>
      </w:r>
      <w:bookmarkEnd w:id="3"/>
      <w:r>
        <w:rPr>
          <w:sz w:val="24"/>
          <w:szCs w:val="24"/>
        </w:rPr>
        <w:t xml:space="preserve"> (Панфилова Н.А.), начальнику отдела культуры администрации Тугулымского муниципального округа (Горбунова И.В.), ведущему специалисту отдела по физической культуре, спорту и молодежной политике администрации Тугулымского муниципального округа, </w:t>
      </w:r>
      <w:r>
        <w:rPr>
          <w:color w:val="auto"/>
          <w:sz w:val="24"/>
          <w:szCs w:val="24"/>
        </w:rPr>
        <w:t xml:space="preserve">директору Муниципального автономного учреждения Тугулымского муниципального округа Свердловской области «Спорт для всех» (Дюпин Е.В.), и.о.директора Муниципального казенного учреждения </w:t>
      </w:r>
      <w:r>
        <w:rPr>
          <w:sz w:val="24"/>
          <w:szCs w:val="24"/>
        </w:rPr>
        <w:t>«Административно-хозяйственное управление Тугулымского муниципального округа</w:t>
      </w:r>
      <w:r>
        <w:rPr>
          <w:color w:val="auto"/>
          <w:sz w:val="24"/>
          <w:szCs w:val="24"/>
        </w:rPr>
        <w:t xml:space="preserve"> Свердловской области</w:t>
      </w:r>
      <w:r>
        <w:rPr>
          <w:sz w:val="24"/>
          <w:szCs w:val="24"/>
        </w:rPr>
        <w:t>» (Санников Д.С.), начальникам поселковых и сельских управ администрации Тугулымского муниципального округа:</w:t>
      </w:r>
    </w:p>
    <w:p>
      <w:pPr>
        <w:pStyle w:val="Normal"/>
        <w:spacing w:lineRule="atLeast" w:line="0" w:beforeAutospacing="0" w:before="0" w:after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 Обеспечить выполнение Перечня мероприятий в части касающейся;</w:t>
      </w:r>
    </w:p>
    <w:p>
      <w:pPr>
        <w:pStyle w:val="Normal"/>
        <w:spacing w:lineRule="atLeast" w:line="0" w:beforeAutospacing="0" w:before="0" w:after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Предоставить в срок до 15 июня и до 15 декабря секретарю антитеррористической комиссии Тугулымского муниципального округа (Сысоев А.В.) информацию об исполнении соответствующих пунктов Перечня мероприятий. </w:t>
      </w:r>
    </w:p>
    <w:p>
      <w:pPr>
        <w:pStyle w:val="Normal"/>
        <w:spacing w:lineRule="atLeast" w:line="0" w:beforeAutospacing="0" w:before="0" w:after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 Постановление администрации Тугулымского муниципального округа от 03.09.2025 № 610 «Об утверждении Комплексного плана мероприятий по противодействию идеологии терроризма в Тугулымском муниципальном округе на 20</w:t>
      </w:r>
      <w:bookmarkStart w:id="4" w:name="_Hlk204677397"/>
      <w:r>
        <w:rPr>
          <w:sz w:val="24"/>
          <w:szCs w:val="24"/>
        </w:rPr>
        <w:t xml:space="preserve">24-2028 годы» </w:t>
      </w:r>
      <w:bookmarkEnd w:id="4"/>
      <w:r>
        <w:rPr>
          <w:sz w:val="24"/>
          <w:szCs w:val="24"/>
        </w:rPr>
        <w:t>признать утратившим силу.</w:t>
      </w:r>
    </w:p>
    <w:p>
      <w:pPr>
        <w:pStyle w:val="Normal"/>
        <w:spacing w:lineRule="atLeast" w:line="0" w:beforeAutospacing="0" w:before="0" w:after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  Настоящее постановление вступает в силу после его подписания.</w:t>
      </w:r>
    </w:p>
    <w:p>
      <w:pPr>
        <w:pStyle w:val="Normal"/>
        <w:spacing w:lineRule="atLeast" w:line="0" w:beforeAutospacing="0" w:before="0" w:afterAutospacing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  Настоящее постановление разместить на официальном сайте администрации Тугулымского муниципального округа.</w:t>
      </w:r>
    </w:p>
    <w:p>
      <w:pPr>
        <w:pStyle w:val="Normal"/>
        <w:spacing w:lineRule="atLeast" w:line="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  Контроль исполнения настоящего постановления возложить на заместителя главы Тугулымского муниципального округа Калунину М.О.     </w:t>
      </w:r>
    </w:p>
    <w:p>
      <w:pPr>
        <w:pStyle w:val="Normal"/>
        <w:spacing w:lineRule="atLeast" w:line="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tLeast" w:line="2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418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tLeast" w:line="20" w:beforeAutospacing="0" w:before="0" w:afterAutospacing="0" w:after="280"/>
        <w:rPr/>
      </w:pPr>
      <w:r>
        <w:rPr>
          <w:sz w:val="24"/>
          <w:szCs w:val="24"/>
        </w:rPr>
        <w:t>Тугулымского муниципального округа</w:t>
        <w:tab/>
        <w:t xml:space="preserve">   </w:t>
        <w:tab/>
        <w:t xml:space="preserve">                                                   А.Н. Поздеев      </w:t>
      </w:r>
    </w:p>
    <w:p>
      <w:pPr>
        <w:pStyle w:val="Normal"/>
        <w:spacing w:beforeAutospacing="0" w:before="0" w:afterAutospacing="0" w:after="0"/>
        <w:jc w:val="end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spacing w:beforeAutospacing="0" w:before="0" w:afterAutospacing="0" w:after="0"/>
        <w:jc w:val="end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pStyle w:val="Normal"/>
        <w:spacing w:beforeAutospacing="0" w:before="0" w:afterAutospacing="0" w:after="0"/>
        <w:jc w:val="end"/>
        <w:rPr>
          <w:sz w:val="24"/>
          <w:szCs w:val="24"/>
        </w:rPr>
      </w:pPr>
      <w:r>
        <w:rPr>
          <w:sz w:val="24"/>
          <w:szCs w:val="24"/>
        </w:rPr>
        <w:t>Тугулымского муниципального округа</w:t>
      </w:r>
    </w:p>
    <w:p>
      <w:pPr>
        <w:pStyle w:val="Normal"/>
        <w:spacing w:beforeAutospacing="0" w:before="0" w:afterAutospacing="0" w:after="0"/>
        <w:jc w:val="end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19.01.2026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   </w:t>
      </w:r>
    </w:p>
    <w:p>
      <w:pPr>
        <w:pStyle w:val="Normal"/>
        <w:spacing w:before="280" w:after="280"/>
        <w:jc w:val="end"/>
        <w:rPr>
          <w:sz w:val="28"/>
        </w:rPr>
      </w:pPr>
      <w:r>
        <w:rPr>
          <w:sz w:val="28"/>
        </w:rPr>
      </w:r>
    </w:p>
    <w:p>
      <w:pPr>
        <w:pStyle w:val="Normal"/>
        <w:spacing w:before="100" w:after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"/>
        <w:spacing w:before="280" w:after="280"/>
        <w:rPr>
          <w:sz w:val="28"/>
        </w:rPr>
      </w:pPr>
      <w:r>
        <w:rPr>
          <w:sz w:val="28"/>
        </w:rPr>
      </w:r>
      <w:bookmarkStart w:id="5" w:name="_Hlk204677620"/>
      <w:bookmarkStart w:id="6" w:name="_Hlk204677620"/>
      <w:bookmarkEnd w:id="6"/>
    </w:p>
    <w:p>
      <w:pPr>
        <w:pStyle w:val="Normal"/>
        <w:spacing w:before="280" w:after="280"/>
        <w:rPr>
          <w:sz w:val="28"/>
        </w:rPr>
      </w:pPr>
      <w:r>
        <w:rPr>
          <w:sz w:val="28"/>
        </w:rPr>
      </w:r>
      <w:bookmarkStart w:id="7" w:name="_Hlk204677620"/>
      <w:bookmarkStart w:id="8" w:name="_Hlk204677620"/>
      <w:bookmarkEnd w:id="8"/>
    </w:p>
    <w:p>
      <w:pPr>
        <w:pStyle w:val="Normal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в Тугулымском муниципальном округе на 2026 год</w:t>
      </w:r>
    </w:p>
    <w:p>
      <w:pPr>
        <w:pStyle w:val="Normal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реализации Комплексного плана </w:t>
      </w:r>
      <w:r>
        <w:rPr>
          <w:b/>
          <w:sz w:val="28"/>
          <w:szCs w:val="28"/>
        </w:rPr>
        <w:t xml:space="preserve">противодействия идеологии терроризма </w:t>
      </w:r>
    </w:p>
    <w:p>
      <w:pPr>
        <w:pStyle w:val="Normal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Российской Федерации на 2024-2028 годы, утвержденного Президентом Российской Федерации 30.12.2023 Пр-2610</w:t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p>
      <w:pPr>
        <w:pStyle w:val="Normal"/>
        <w:spacing w:before="280" w:after="280"/>
        <w:jc w:val="both"/>
        <w:rPr/>
      </w:pPr>
      <w:r>
        <w:rPr/>
      </w:r>
    </w:p>
    <w:tbl>
      <w:tblPr>
        <w:tblStyle w:val="af5"/>
        <w:tblpPr w:vertAnchor="text" w:horzAnchor="text" w:tblpXSpec="center" w:leftFromText="180" w:rightFromText="180" w:tblpY="1"/>
        <w:tblOverlap w:val="never"/>
        <w:tblW w:w="1474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2"/>
        <w:gridCol w:w="5911"/>
        <w:gridCol w:w="3080"/>
        <w:gridCol w:w="3831"/>
        <w:gridCol w:w="1419"/>
      </w:tblGrid>
      <w:tr>
        <w:trPr>
          <w:tblHeader w:val="true"/>
        </w:trPr>
        <w:tc>
          <w:tcPr>
            <w:tcW w:w="502" w:type="dxa"/>
            <w:tcBorders/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59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Содержание мероприятий, направленных </w:t>
              <w:br/>
              <w:t>на реализацию Комплексного плана</w:t>
            </w:r>
          </w:p>
        </w:tc>
        <w:tc>
          <w:tcPr>
            <w:tcW w:w="3080" w:type="dxa"/>
            <w:tcBorders/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 место проведения</w:t>
            </w:r>
          </w:p>
        </w:tc>
        <w:tc>
          <w:tcPr>
            <w:tcW w:w="3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Ожидаемый результат (качественные </w:t>
              <w:br/>
              <w:t>и количественные характеристики)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Срок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1. Общепрофилактические мероприятия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1.1 Комплексного плана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противодействия идеологии терроризма в Российской Федерации на 2024 - 2028 годы, </w:t>
            </w:r>
          </w:p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утверждённым Президентом Российской Федерации 30.12.2023 № Пр-2610 (далее – Комплексный план)</w:t>
            </w:r>
          </w:p>
        </w:tc>
      </w:tr>
      <w:tr>
        <w:trPr>
          <w:trHeight w:val="897" w:hRule="atLeast"/>
        </w:trPr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Проведение цикла мероприятий (классных часов, лекций, встреч, выставочных мероприятий), посвященных Дню солидарности в борьбе с терроризмом, Дню защитника Отечества, Дню Героев Отечества в учреждениях культуры 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 администрации Тугулымского муниципального округа (далее - отдел культуры)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Liberation Serif" w:ascii="Liberation Serif" w:hAnsi="Liberation Serif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освещение мероприятий в сети «Интернет»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iCs/>
              </w:rPr>
            </w:pPr>
            <w:r>
              <w:rPr>
                <w:rFonts w:eastAsia="Times New Roman" w:cs="Liberation Serif" w:ascii="Liberation Serif" w:hAnsi="Liberation Serif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февраль,</w:t>
            </w:r>
          </w:p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iCs/>
              </w:rPr>
            </w:pPr>
            <w:r>
              <w:rPr>
                <w:rFonts w:eastAsia="Times New Roman" w:cs="Liberation Serif" w:ascii="Liberation Serif" w:hAnsi="Liberation Serif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сентябрь, </w:t>
            </w:r>
          </w:p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iCs/>
              </w:rPr>
            </w:pPr>
            <w:r>
              <w:rPr>
                <w:rFonts w:eastAsia="Times New Roman" w:cs="Liberation Serif" w:ascii="Liberation Serif" w:hAnsi="Liberation Serif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Liberation Serif" w:hAnsi="Liberation Serif" w:cs="Liberation Serif"/>
                <w:iCs/>
              </w:rPr>
            </w:pPr>
            <w:r>
              <w:rPr>
                <w:rFonts w:eastAsia="Times New Roman" w:cs="Liberation Serif" w:ascii="Liberation Serif" w:hAnsi="Liberation Serif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цикла мероприятий (лекций, встреч, публичных мероприятий), посвященных Дню солидарности в борьбе с терроризмом, с привлечением молодежных общественных организаций, с участием добровольцев и волонтеров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 администрации Тугулымского муниципального округа (далее - Управление образования),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отдел культуры, поселковые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и сельские управы администрации Тугулымского муниципального округа (далее - поселковые  и  сельские управы)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достижение максимального охвата представителей различных категорий населения с привлечением политических деятелей, представителей общественных и религиозных организаций в целях формирования антитеррористического мировоззрения. Освещение результатов мероприятий в СМИ, а также на официальном сайте Тугулымского муниципального округа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август, сентябрь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в образовательных организациях, расположенных на территории Тугулымского муниципального образования (далее – образовательные организации), мероприятий, посвященных Дню солидарности в борьбе с терроризмом (З сентября), Дню защитника Отечества (23 февраля), Дню Героев Отечества (9 декабря) (бесед, лекций, кинопросмотров, встреч с героями, круглых столов, викторин и др.), в том числе с участием в них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 обучающихся образовательных организаций антитеррористического мировоззрения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сентябрь, декабрь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4. 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Реализация практики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Администрация Тугулымского муниципального округа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антитеррористического мировоззрения, воспитание патриотизма, гордости за свою страну, своих земляков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Проведения акции «Парта героя»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антитеррористического мировоззрения, воспитание патриотизма, гордости за свою страну, своих земляков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6.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Освещение в средствах массовой информации и социальных сетях, а также на сайтах Тугулымского муниципального округа и Учреждений мероприятий и акций, посвященных Дню защитника Отечества (23 февраля), Дню солидарности в борьбе с терроризмом (3 сентября), Дню Героев Отечества (9 декабря)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Муниципальное казенное учреждение «Административно -хозяйственное управление Тугулымского муниципального округа Свердловской области» (далее - МКУ «АХУ ТМО СО»)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выпуск информационных материалов, формирование установки на традиционные российские ценности и неприятие идеологии терроризма в информационном пространстве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февраль, август, сентябрь, декабрь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7.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в образовательных организациях просветительских мероприятий, направленных на устранение негативных факторов, способствующих распространению идеологии насилия и террористических проявлений, с привлечением лидеров общественного мнения, политических деятелей, представителей религиозных и общественных организаций, социально ориентированных некоммерческих организаций, детских и молодежных движений (обществ и проектов), таких как «Уральская ассоциация «Центр этноконфессиональных исследований, профилактики экстремизма и противодействия идеологии терроризма», Координационный центр УрФУ, автономная некоммерческая организация «Наш дом»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охвата профилактическими мероприятиями обучающихся не менее 70% образовательных организаций с целью формирования антитеррористического мировоззрения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1.2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8.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и проведение образовательных и воспитательных мероприятий (бесед, круглых столов, викторин, квизов, встреч и др.) с молодежью, направленных на формирование общероссийской гражданской идентичности, прививающих идеи российского патриотизма, общественного мира и согласия, межнационального и межрелигиозного уважения, с участием представителей этнокультурных и религиозных организаций традиционных конфессий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по физической культуре, спорту и молодежной политике администрации Тугулымского муниципального округа (далее – ОФКС и МП)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лидеров общественного мнения, общественных деятелей, представителей традиционных религиозных конфессий. Формирование высокого уровня гражданского самосознания молодежи, предполагающего неприятие идей экстремизма и терроризма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9.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цикла мероприятий, направленных на гармонизацию межнациональных отношений (празднование Дня народов Среднего Урала, Дня народного единства, проведение молодежного фестиваля «Вместе с книгой к миру и согласию!», детского фестиваля «Народы Урала: вместе в Новый год!», конкурсов национальных культур «Мы живем на Урале», «Венок дружбы» и др.), включение в программы этих мероприятий тематики, способствующей формированию неприятия идеологии терроризма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мероприятий, освещение мероприятий в сети «Интернет»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сентябрь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10.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Включение антитеррористической тематики в программу проведения массовых физкультурных и спортивных мероприятий, таких как спартакиады, соревнования профессионального и любительского уровня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ОФКС и МП, Муниципальное автономное учреждение Тугулымского муниципального округа Свердловской области «Спорт для всех» (далее - МАУ ТМО СО «Спорт для всех»)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 рамках организации официальных физкультурных и спортивных мероприятий с целью увеличения охвата аудитории в части профилактики идеологии терроризма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к участию в общественно-политических, воспитательных, просветительских, культурных, досуговых и спортивных мероприятиях общественных и социально ориентированных некоммерческих организаций (в том числе автономной некоммерческой организации по развитию цифровых проектов в сфере общественных связей и коммуникаций «Диалог», автономной некоммерческой организации «Центр изучения и сетевого мониторинга молодежной среды» и др.), детских и молодежных движений (обществ, проектов) для создания условий по привитию молодежи неприятия идеологии терроризма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охвата населения, в том числе обучающихся и молодежи, вовлеченных в мероприятия, с целью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>
          <w:trHeight w:val="1190" w:hRule="atLeast"/>
        </w:trPr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Освещение мероприятий в сфере образования, культуры, спорта и молодежной политики в средствах массовой информации и социальных сетях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в информационном пространстве установки на традиционные российские ценности и неприятие идеологии терроризма в информационном пространстве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до 30 июня,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до 30 декабря 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1.3.1 пункта 1.3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в рамках воспитательной работы в образовательных организациях лекций, бесед, диспутов, круглых столов, викторин, кинопоказов, встреч с лидерами общественного мнения, направленных на разъяснение преступной сущности террористических, украинских националистических и неонацистских организаций, с внесением в планы воспитательной работы организаций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ОФКС и МП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14.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цикла мероприятий, направленных на развитие у молодежи неприятия идеологии терроризма, в том числе выставок антитеррористического содержания, встреч с героями и участниками специальной военной операции, ветеранами Вооруженных Сил Российской Федерации, инструктажей и разъяснительных бесед с обучающимися о нормах законодательства, устанавливающих ответственность за участие в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с использованием площадок учреждений культуры, учреждений по делам молодежи. Включение в рабочие программы воспитания разделов, посвященных вопросам защиты обучающихся от пропаганды идеологии терроризма при использовании сети «Интернет»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28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к участию в мероприятиях молодежи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28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1.3.2 пункта 1.3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актуализации учебно-методических материалов в соответствии с поступающими рекомендациями Минпросвещения, НАК, антитеррористической комиссии в Свердловской области, иных органов, уполномоченных в сфере профилактики терроризма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 обучающихся стойкого неприятия идеологии терроризма, иных деструктивных радикальных идеологий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1.4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16.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мониторинга библиотечных фондов образовательных организаций в части наличия изданий, включенных в федеральный список экстремистских материалов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выявление и изъятие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становления, обеспечение 100% охвата библиотечных фондов (проведение мониторинга не реже 1 раза в квартал)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1.5.2 пункта 1.5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17.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Предоставление субсидий из областного бюджета бюджетам муниципальных образований, расположенных на территории Свердловской области, на организацию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1.5.3 пункта 1.5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18.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обучающихся образовательных организаций к занятиям в кружках, секциях, в том числе спортивных, планирование альтернативных видов организации свободного времени активных подростков и молодых людей посредством участия в работе молодежных движений гражданско-патриотической направленности, в том числе в деятельности Общероссийского движения детей и молодежи «Движение первых», с задействованием структур служб примирения (медиации) по разрешению конфликтных ситуаций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позитивного досуга обучающихся общеобразовательных организаций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19.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содействия в привлечении представителей волонтерских, патриотических, этнокультурных и религиозных организаций традиционных конфессий к участию в мероприятиях в подростково-молодежной и образовательной среде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ОФКС и МП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создание оптимальных форм привлечения молодежи и подростков к участию в социально полезной деятельности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обучающихся общеобразовательных организаций к участию в культурно-просветительских мероприятиях, в том числе приуроченных к праздничным и памятным датам, на площадках музеев, библиотек, концертных и культурно-досуговых учреждений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обеспечение максимального охвата позитивной повесткой обучающихся общеобразовательных организаций в свободное от учебы время.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1.6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анализа (мониторинга) факторов, влияющих на распространение идеологии терроризма в образовательной среде, насильственное и иное общественно опасное поведение обучающихся, и принятие по его результатам мер, направленных на повышение качества организации и реализации воспитательных и профилактических мероприятий в конкретных образовательных организациях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определение общеобразовательных организаций с высокими показателями неблагоприятных факторов, влияющих на распространение идей терроризма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 течение 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методической и практической помощи руководству и сотрудникам образовательных организаций, выявленных в ходе анализа (мониторинга), в повышении качества воспитательной и профилактической деятельности, формировании здорового климата в образовательных организациях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снижение количества обучающихся, совершивших ПТН и иные опасные деяния. Уменьшение количества образовательных организаций с высокими показателями негативных факторов (сравнение данных ежегодного мониторинга)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 течение 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2. Адресные профилактические меры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2.3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мероприятий по адаптации детей из семей мигрантов с вовлечением их в спортивные, волонтерские и иные досуговые организации для профилактического охвата во внеурочное время с целью формирования у них антитеррористического мировоззрения и привития им традиционных российских духовно-нравственных ценностей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эффективности процессов адаптации и социализации детей из семей мигрантов в российское общество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24.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Реализация информационно-просветительского проекта «ЭтноШкола»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создание благоприятных условий для социальной адаптации и интеграции детей мигрантов: знакомство с историей России и Урала, культурой народов, проживающих на Среднем Урале, литературой российских авторов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Обращение в Департамент ВП Свердловской области для оказания консультативно- методической помощи в организации мероприятий с иностранными гражданами, прибывшими в Российскую Федерацию для обучения, по разъяснению традиционных российских духовно-нравственных ценностей с участием представителей этнокультурных и религиозных организаций традиционных конфессий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Информирование в ходе проведения данных мероприятий об ответственности за участие в террористической деятельности и содействие ей, разжигание социальной, национальной и религиозной розни, а также о правилах поведения в российском обществе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недопущение вовлечения в террористическую деятельность иностранных граждан, прибывших в Российскую Федерацию для обучения.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2.4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26.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мероприятий по адаптации и социализации детей трудовых мигрантов в школьных коллективах, их охват во внеурочное время в целях привития традиционных российских духовно-нравственных ценностей в рамках проведения воспитательной работы в общеобразовательных организациях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формирования антитеррористического мировоззрения у детей трудовых мигрантов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27.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для обучающихся общеобразовательных организаций, прибывших из стран Центрально-Азиатского региона, в рамках просветительской акции «Правила жизни» творческого конкурса (рисунков, стихов, видеороликов) о противостоянии общечеловеческих и традиционных российских духовно-нравственных ценностей идеям терроризма, неонацизма, национализма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обеспечение участия в акции не менее 20% обучающихся указанных категорий, освещение результатов мероприятия в СМИ, а также на официальном сайте Тугулымского муниципального округа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май – август 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2.5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28.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Проведение в рамках празднования Дня Победы просветительской исторической акции выставок, групповых просмотров документальных фильмов, открытых лекций и иных мероприятий с привлечением обучающихся, прибывших из новых субъектов Российской Федерации и Украины, и участием представителей регионального отделения Движения первых.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Информирование в рамках указанной акции о преступлениях неонацистских формирований, совершенных на Донбассе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мероприятий с участием не менее 20% от общего количества обучающихся указанной категории. Освещение итогов акции в СМИ, а также на официальном сайте Тугулымского муниципального округа. Оценка качества проведенного мероприятия, в том числе с использованием форм обратной связи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апрель – май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29.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Включение в планы воспитательной и просветительской работы мероприятий с обучающимися, прибывающими из новых регионов Российской Федерации, мероприятий по интеграции лиц указанной категории в учебный коллектив, привлечению их к деятельности волонтерских движений, студенческих структур, в том числе культурно-досуговой направленности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по мере выявления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2.6.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30.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жителей новых субъектов Российской Федерации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создание условий для эффективной социализации и интеграции в российское общество жителей новых субъектов Российской Федерации, обеспечение максимального охвата целевой аудитории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Привлечение жителей новых субъектов Российской Федерации к участию в культурно-просветительских мероприятиях, таких как выставки, лекции, кинопоказы, спектакли и др.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привитие жителям новых субъектов Российской Федерации традиционных российских духовно-нравственных ценностей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2.7.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Принятие мер по приведению уровня образования несовершеннолетних, прибывших из зон боевых действий на территории Сирийской Арабской Республики и Республики Ирак, в соответствие с возрастом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адаптация детей указанной категории к условиям образования в учебных коллективах, их эффективная социализация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вовлечения несовершеннолетних, прибывших из зон боевых действий на территории Сирийской Арабской Республики и Республики Ирак, в добровольческую деятельность, культурно-досуговую работу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социализация в российском обществе данной категории лиц, формирование позитивных связей со сверстниками, способствующих принятию традиционных российских духовно-нравственных ценностей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34.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психолого-педагогического сопровождения детей, прибывших из зон боевых действий на территории Сирийской Арабской Республики и Республики Ирак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интеграции данной категории детей в российское общество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2.8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Реализация мероприятий по вовлечению несовершеннолетних, состоящих на различных видах профилактического учета, в культурную деятельность, обеспечение их досуговой занятости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профилактической работы с привлечением к позитивной социальной деятельности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36.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28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Привлечение авторитетных представителей общественных, этнокультурных и религиозных организаций к участию в проводимой с молодежью, состоящей на различных формах учета, профилактической работе, направленной на разъяснение преступной сущности терроризма и привитие традиционных российских духовно-нравственных ценностей.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28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При необходимости привлечения представителей обращаться в Департамент ВП и Департамент МП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ОФКС и МП, МАУ ТМО СО «Спорт для всех»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 данной категории молодежи антитеррористического мировоззрения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780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3. Индивидуальные профилактические меры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3.4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37.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выявления обучающихся, подверженных воздействию идеологии «Колумбайн», посредством анализа результатов социально-психологического тестирования, иных применяемых массовых диагностик, оценки поведения и реализации в отношении них индивидуальных профилактических мероприятий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определение обучающихся указанной категории, проведение с ними индивидуальной профилактической работыпод руководством психологов, социальных педагогов, советников по воспитанию, специалистов сферы молодежной политики с привлечением к позитивной социальной деятельности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38.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индивидуальной профилактической работы с несовершеннолетними, состоящими на различных видах учета и подпавшими под воздействие идей насилия (терроризма, неонацизма, массовых убийств), на площадках оздоровительных лагерей с привлечением специализированных подведомственных организаций и социально ориентированных некоммерческих организаций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охвата профилактической работой не менее 20% лицуказанной категории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3.5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39.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реализации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профилактика правонарушений среди несовершеннолетних и молодежи, повышение качества реализации программ воспитания и профилактики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4. Информационно-пропагандистские мероприятия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4.1.1 пункта 4.1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40.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Распространение в сети «Интернет» материалов антитеррористической направленности, организация кинопоказа документальных фильмов с антитеррористической тематикой в кинозалах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распространение материалов в сети «Интернет» с охватом не менее 2000 просмотров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Размещение на официальных сайтах образовательных организаций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негативного отношения детей и молодежи к терроризму, украинскому национализму и неонацизму, а также неприятие идей массовых убийств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  <w:bCs/>
              </w:rPr>
            </w:pPr>
            <w:r>
              <w:rPr>
                <w:rFonts w:eastAsia="Baltica" w:cs="Baltica" w:ascii="Liberation Serif" w:hAnsi="Liberation Serif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4.1.2 пункта 4.1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мониторинга публикаций средств массовой информации и социальных сетей для своевременного выявления рисков в виде публикаций и постов, оказывающих психологическое влияние на население со стороны международных террористических организаций, иностранных спецслужб, националистических и неонацистских организаций, западных пропагандистских центров, путем размещения в средствам массовой информации сведений, опровергающих ложные новости и (или) дискредитирующие их источники, а также формирующих позитивную роль органов власти в противодействию терроризму и иным радикальным проявлениям в целях содействия функционированию Единой системы противодействия распространению недостоверной информации в сети «Интернет»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МКУ «АХУ ТМО СО»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ежедневного мониторинга с целью оперативного предотвращения распространения недостоверной информации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подпункта 4.1.3 пункта 4.1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Направление в адрес федерального государственного бюджетного учреждения «Российская государственная библиотека» разработанных информационных материалов для формирования на информационных ресурсах электронного каталога антитеррористических материалов (текстовых, графических, аудио-и видеоматериалов) с предоставлением к нему свободного доступа, для общепрофилактических, адресных, индивидуальных и информационно-пропагандистских мероприятий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направление не менее 10 информационных материалов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44.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Предоставление в Департамент ИП имеющихся, созданных или вновь поступивших материалов антитеррористического содержания для распространения в сети «Интернет», а также для пополнения электронного каталога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направление не менее 2   информационных материалов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4.2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Освещение мероприятий, проводимых учреждениями, подведомственными управлению образования и отдела культуры, направленных на снижение рисков вовлечения молодежи в террористическую деятельность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установки на традиционные российские ценности и неприятие идеологии терроризма в информационном пространстве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4.3 Комплексного плана</w:t>
            </w:r>
          </w:p>
        </w:tc>
      </w:tr>
      <w:tr>
        <w:trPr>
          <w:trHeight w:val="475" w:hRule="atLeast"/>
        </w:trPr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Распространение в сети «Интернет» материалов, нацеленных на формирование у населения антитеррористического мировоззрения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распространение материалов в сети «Интернет»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4.4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46.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выставок, посвященных событиям специальной военной операции и подвигам ее участников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выставочных мероприятий освещение мероприятий в сети «Интернет»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47.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организациями; открытие памятников героям и включение данных памятных мест в экскурсионные программы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создание дополнительных условий формирования у обучающихся и молодежи антитеррористического мировоззрения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4.5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48.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Подготовка антитеррористических материалов (текстовых, графических, аудио- и видеоматериалов) и распространение их через средства массовой информации, социальные сети в целях привития населению новых субъектов Российской Федерации традиционных нравственных ценностей, доведения норм российского законодательства, устанавливающих уголовную ответственность за участие в деятельности террористических организаций и оказание им содействия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отдел гражданской обороны и чрезвычайных ситуаций  администрации Тугулымского муниципального округа (далее отдел ГОЧС)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формирование установки на традиционные российские ценности и неприятие идеологии терроризма в информационном пространстве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49.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Распространение в сети «Интернет» материалов антитеррористической направленности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образования, отдел культуры, отдел ГОЧС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распространение материалов в сети «Интернет»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4.7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50.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Распространение тематических материалов, направленных на противодействие фальсификации истории и недопущение распространения неонацизма на территории Российской Федерации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28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распространение материалов в сети «Интернет»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5. Мероприятия по кадровому и методическому обеспечению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5.1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51.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Обеспечение обучения муниципальных служащих по программам повышения квалификации по направлению противодействия идеологии терроризма 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ГОЧС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обучение с получением ими удостоверения государственного образца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52.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Участие в обучающих мероприятиях для сотрудников – исполнителей КП, работников ОМСУ с приглашением ведущих специалистов и экспертов по организации и проведению работы по противодействию идеологии терроризма среди различных категорий населения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Управление образования,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культуры, ОФКС и МП, МАУ ТМО СО «Спорт для всех», отдел ГОЧС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обучение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  <w:bCs/>
              </w:rPr>
            </w:pPr>
            <w:r>
              <w:rPr>
                <w:rFonts w:eastAsia="Baltica" w:cs="Baltica" w:ascii="Liberation Serif" w:hAnsi="Liberation Serif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5.2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53.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Участие в региональных обучающих мероприятиях (конференций, форумов, семинаров, «круглых столов») для педагогических работников 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обмен опытом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Во исполнение пункта 5.11 Комплексного плана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54.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Проведение социологического исследования на территории Тугулымского муниципального округа «Оценка населением состояния этноконфессиональных отношений в Свердловской области»       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Отдел культуры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подготовка аналитического отчета по результатам социологического исследования «Оценка населением состояния этноконфессиональных отношений в Свердловской области»                           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/>
        <w:tc>
          <w:tcPr>
            <w:tcW w:w="1474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  <w:b/>
              </w:rPr>
            </w:pPr>
            <w:r>
              <w:rPr>
                <w:rFonts w:eastAsia="Baltica" w:cs="Baltica" w:ascii="Liberation Serif" w:hAnsi="Liberation Serif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6. Организационные мероприятия</w:t>
            </w:r>
          </w:p>
        </w:tc>
      </w:tr>
      <w:tr>
        <w:trPr/>
        <w:tc>
          <w:tcPr>
            <w:tcW w:w="5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55.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both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Определение должностных лиц, ответственных за непосредственную организацию и исполнение мероприятий Комплексного плана</w:t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100" w:after="10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Глава Тугулымского муниципального округа</w:t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="0" w:after="0"/>
              <w:jc w:val="start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 деятельности по реализации мероприятий Комплексного плана в рамках полномочий соисполнителей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689" w:leader="none"/>
              </w:tabs>
              <w:suppressAutoHyphens w:val="true"/>
              <w:spacing w:beforeAutospacing="0" w:before="0" w:afterAutospacing="0" w:after="0"/>
              <w:jc w:val="center"/>
              <w:textAlignment w:val="baseline"/>
              <w:rPr>
                <w:rFonts w:ascii="Liberation Serif" w:hAnsi="Liberation Serif" w:eastAsia="Baltica" w:cs="Baltica"/>
              </w:rPr>
            </w:pPr>
            <w:r>
              <w:rPr>
                <w:rFonts w:eastAsia="Baltica" w:cs="Baltica" w:ascii="Liberation Serif" w:hAnsi="Liberation Serif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</w:tbl>
    <w:p>
      <w:pPr>
        <w:pStyle w:val="Normal"/>
        <w:spacing w:before="100" w:after="100"/>
        <w:jc w:val="both"/>
        <w:rPr/>
      </w:pPr>
      <w:r/>
      <w:r>
        <w:rPr/>
        <w:br w:type="textWrapping" w:clear="all"/>
      </w:r>
    </w:p>
    <w:p>
      <w:pPr>
        <w:pStyle w:val="Normal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851" w:right="851" w:gutter="0" w:header="709" w:top="766" w:footer="709" w:bottom="76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80" w:after="2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80" w:after="28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80" w:after="2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0CA53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635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spacing w:before="0" w:after="28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0pt;margin-top:0.05pt;width:11.95pt;height:0pt;mso-wrap-style:square;v-text-anchor:top;mso-position-horizontal:right;mso-position-horizontal-relative:margin" wp14:anchorId="20CA532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spacing w:before="0" w:after="28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ind w:end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ind w:end="36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80" w:after="28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80" w:after="8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13</w:t>
    </w:r>
    <w:r>
      <w:rPr>
        <w:sz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80" w:after="28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21"/>
    <w:qFormat/>
    <w:rsid w:val="00707b07"/>
    <w:pPr>
      <w:widowControl/>
      <w:suppressAutoHyphens w:val="false"/>
      <w:bidi w:val="0"/>
      <w:spacing w:beforeAutospacing="1" w:afterAutospacing="1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jc w:val="center"/>
      <w:outlineLvl w:val="0"/>
    </w:pPr>
    <w:rPr>
      <w:b/>
      <w:sz w:val="36"/>
    </w:rPr>
  </w:style>
  <w:style w:type="paragraph" w:styleId="Heading2">
    <w:name w:val="heading 2"/>
    <w:next w:val="Normal"/>
    <w:link w:val="22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Style21" w:customStyle="1">
    <w:name w:val="Style2"/>
    <w:basedOn w:val="1"/>
    <w:link w:val="Style211"/>
    <w:qFormat/>
    <w:rPr>
      <w:sz w:val="24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1-1" w:customStyle="1">
    <w:name w:val="Заголовок 1- нумерованный Знак Знак Знак1 Знак Знак Знак Знак Знак Знак Знак Знак Знак Знак"/>
    <w:basedOn w:val="1"/>
    <w:link w:val="1-11"/>
    <w:qFormat/>
    <w:rPr>
      <w:b/>
      <w:i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FontStyle13" w:customStyle="1">
    <w:name w:val="Font Style13"/>
    <w:link w:val="FontStyle131"/>
    <w:qFormat/>
    <w:rPr>
      <w:rFonts w:ascii="Times New Roman" w:hAnsi="Times New Roman"/>
      <w:b/>
      <w:sz w:val="24"/>
    </w:rPr>
  </w:style>
  <w:style w:type="character" w:styleId="Style9" w:customStyle="1">
    <w:name w:val="Абзац списка Знак"/>
    <w:basedOn w:val="1"/>
    <w:link w:val="ListParagraph"/>
    <w:qFormat/>
    <w:rPr>
      <w:rFonts w:ascii="Calibri" w:hAnsi="Calibri"/>
      <w:sz w:val="22"/>
    </w:rPr>
  </w:style>
  <w:style w:type="character" w:styleId="Style10" w:customStyle="1">
    <w:name w:val="Без интервала Знак"/>
    <w:link w:val="NoSpacing"/>
    <w:qFormat/>
    <w:rPr>
      <w:rFonts w:ascii="Calibri" w:hAnsi="Calibri"/>
      <w:sz w:val="22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FontStyle19" w:customStyle="1">
    <w:name w:val="Font Style19"/>
    <w:link w:val="FontStyle191"/>
    <w:qFormat/>
    <w:rPr>
      <w:rFonts w:ascii="Times New Roman" w:hAnsi="Times New Roman"/>
      <w:sz w:val="24"/>
    </w:rPr>
  </w:style>
  <w:style w:type="character" w:styleId="ConsPlusNormal" w:customStyle="1">
    <w:name w:val="ConsPlusNormal"/>
    <w:link w:val="ConsPlusNormal1"/>
    <w:qFormat/>
    <w:rPr>
      <w:rFonts w:ascii="Arial" w:hAnsi="Arial"/>
    </w:rPr>
  </w:style>
  <w:style w:type="character" w:styleId="Style11" w:customStyle="1">
    <w:name w:val="Знак Знак Знак Знак"/>
    <w:basedOn w:val="1"/>
    <w:link w:val="15"/>
    <w:qFormat/>
    <w:rPr>
      <w:rFonts w:ascii="Tahoma" w:hAnsi="Tahoma"/>
      <w:sz w:val="20"/>
    </w:rPr>
  </w:style>
  <w:style w:type="character" w:styleId="FontStyle17" w:customStyle="1">
    <w:name w:val="Font Style17"/>
    <w:link w:val="FontStyle171"/>
    <w:qFormat/>
    <w:rPr>
      <w:rFonts w:ascii="Times New Roman" w:hAnsi="Times New Roman"/>
      <w:b/>
      <w:sz w:val="24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basedOn w:val="1"/>
    <w:qFormat/>
    <w:rPr>
      <w:b/>
      <w:sz w:val="36"/>
    </w:rPr>
  </w:style>
  <w:style w:type="character" w:styleId="Hyperlink">
    <w:name w:val="Hyperlink"/>
    <w:link w:val="16"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Pr>
      <w:sz w:val="20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Style12" w:customStyle="1">
    <w:name w:val="Нижний колонтитул Знак"/>
    <w:basedOn w:val="1"/>
    <w:uiPriority w:val="99"/>
    <w:qFormat/>
    <w:rPr>
      <w:sz w:val="24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Style61" w:customStyle="1">
    <w:name w:val="Style6"/>
    <w:basedOn w:val="1"/>
    <w:link w:val="Style611"/>
    <w:qFormat/>
    <w:rPr>
      <w:sz w:val="24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Pr>
      <w:rFonts w:ascii="Arial" w:hAnsi="Arial"/>
      <w:b/>
    </w:rPr>
  </w:style>
  <w:style w:type="character" w:styleId="Style13" w:customStyle="1">
    <w:name w:val="Текст выноски Знак"/>
    <w:basedOn w:val="1"/>
    <w:link w:val="BalloonText"/>
    <w:uiPriority w:val="99"/>
    <w:qFormat/>
    <w:rPr>
      <w:rFonts w:ascii="Tahoma" w:hAnsi="Tahoma"/>
      <w:sz w:val="16"/>
    </w:rPr>
  </w:style>
  <w:style w:type="character" w:styleId="Style14" w:customStyle="1">
    <w:name w:val="Верхний колонтитул Знак"/>
    <w:basedOn w:val="1"/>
    <w:uiPriority w:val="99"/>
    <w:qFormat/>
    <w:rPr>
      <w:sz w:val="24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CiaeniineeI" w:customStyle="1">
    <w:name w:val="Ciae niinee I Знак"/>
    <w:basedOn w:val="1"/>
    <w:link w:val="CiaeniineeI1"/>
    <w:qFormat/>
    <w:rPr>
      <w:sz w:val="20"/>
      <w:vertAlign w:val="superscript"/>
    </w:rPr>
  </w:style>
  <w:style w:type="character" w:styleId="13" w:customStyle="1">
    <w:name w:val="Название Знак1"/>
    <w:link w:val="111"/>
    <w:qFormat/>
    <w:rPr>
      <w:rFonts w:ascii="Cambria" w:hAnsi="Cambria"/>
      <w:b/>
      <w:sz w:val="32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ConsPlusCell" w:customStyle="1">
    <w:name w:val="ConsPlusCell"/>
    <w:link w:val="ConsPlusCell1"/>
    <w:qFormat/>
    <w:rPr>
      <w:rFonts w:ascii="Courier New" w:hAnsi="Courier New"/>
    </w:rPr>
  </w:style>
  <w:style w:type="character" w:styleId="21" w:customStyle="1">
    <w:name w:val="Обычный2"/>
    <w:basedOn w:val="1"/>
    <w:qFormat/>
    <w:rPr>
      <w:sz w:val="24"/>
    </w:rPr>
  </w:style>
  <w:style w:type="character" w:styleId="PageNumber">
    <w:name w:val="page number"/>
    <w:basedOn w:val="DefaultParagraphFont"/>
    <w:link w:val="18"/>
    <w:rPr/>
  </w:style>
  <w:style w:type="character" w:styleId="14" w:customStyle="1">
    <w:name w:val="Абзац списка1"/>
    <w:basedOn w:val="1"/>
    <w:link w:val="112"/>
    <w:qFormat/>
    <w:rPr>
      <w:rFonts w:ascii="Calibri" w:hAnsi="Calibri"/>
      <w:sz w:val="22"/>
    </w:rPr>
  </w:style>
  <w:style w:type="character" w:styleId="Style15" w:customStyle="1">
    <w:name w:val="Подзаголовок Знак"/>
    <w:qFormat/>
    <w:rPr>
      <w:rFonts w:ascii="XO Thames" w:hAnsi="XO Thames"/>
      <w:i/>
      <w:sz w:val="24"/>
    </w:rPr>
  </w:style>
  <w:style w:type="character" w:styleId="Style16" w:customStyle="1">
    <w:name w:val="Заголовок Знак"/>
    <w:basedOn w:val="1"/>
    <w:qFormat/>
    <w:rPr>
      <w:b/>
      <w:sz w:val="24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Style17">
    <w:name w:val="Символ сноски"/>
    <w:qFormat/>
    <w:rsid w:val="00d1329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nformat1" w:customStyle="1">
    <w:name w:val="ConsPlusNonformat1"/>
    <w:link w:val="ConsPlusNonformat"/>
    <w:qFormat/>
    <w:pPr>
      <w:widowControl w:val="false"/>
      <w:bidi w:val="0"/>
      <w:spacing w:before="0" w:after="0"/>
      <w:jc w:val="star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11" w:customStyle="1">
    <w:name w:val="Style21"/>
    <w:basedOn w:val="Normal"/>
    <w:link w:val="Style21"/>
    <w:qFormat/>
    <w:pPr>
      <w:widowControl w:val="false"/>
      <w:spacing w:lineRule="exact" w:line="299"/>
      <w:jc w:val="center"/>
    </w:pPr>
    <w:rPr/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-11" w:customStyle="1">
    <w:name w:val="Заголовок 1- нумерованный Знак Знак Знак1 Знак Знак Знак Знак Знак Знак Знак Знак Знак Знак1"/>
    <w:basedOn w:val="Normal"/>
    <w:link w:val="1-1"/>
    <w:qFormat/>
    <w:pPr>
      <w:widowControl w:val="false"/>
      <w:tabs>
        <w:tab w:val="clear" w:pos="708"/>
        <w:tab w:val="left" w:pos="720" w:leader="none"/>
      </w:tabs>
      <w:spacing w:lineRule="exact" w:line="240" w:before="280" w:after="160"/>
      <w:ind w:hanging="360" w:start="720"/>
      <w:jc w:val="center"/>
    </w:pPr>
    <w:rPr>
      <w:b/>
      <w:i/>
      <w:sz w:val="28"/>
    </w:rPr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31" w:customStyle="1">
    <w:name w:val="Font Style131"/>
    <w:link w:val="FontStyle13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qFormat/>
    <w:pPr>
      <w:spacing w:lineRule="auto" w:line="276" w:before="280" w:after="200"/>
      <w:ind w:start="720"/>
    </w:pPr>
    <w:rPr>
      <w:rFonts w:ascii="Calibri" w:hAnsi="Calibri"/>
      <w:sz w:val="22"/>
    </w:rPr>
  </w:style>
  <w:style w:type="paragraph" w:styleId="NoSpacing">
    <w:name w:val="No Spacing"/>
    <w:link w:val="Style10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91" w:customStyle="1">
    <w:name w:val="Font Style191"/>
    <w:link w:val="FontStyle19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Знак Знак Знак Знак1"/>
    <w:basedOn w:val="Normal"/>
    <w:link w:val="Style11"/>
    <w:qFormat/>
    <w:pPr>
      <w:jc w:val="both"/>
    </w:pPr>
    <w:rPr>
      <w:rFonts w:ascii="Tahoma" w:hAnsi="Tahoma"/>
    </w:rPr>
  </w:style>
  <w:style w:type="paragraph" w:styleId="FontStyle171" w:customStyle="1">
    <w:name w:val="Font Style171"/>
    <w:link w:val="FontStyle17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6" w:customStyle="1">
    <w:name w:val="Гиперссылк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/>
    <w:rPr/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oter">
    <w:name w:val="footer"/>
    <w:basedOn w:val="Normal"/>
    <w:link w:val="Style12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611" w:customStyle="1">
    <w:name w:val="Style61"/>
    <w:basedOn w:val="Normal"/>
    <w:link w:val="Style61"/>
    <w:qFormat/>
    <w:pPr>
      <w:widowControl w:val="false"/>
      <w:spacing w:lineRule="exact" w:line="482"/>
      <w:ind w:firstLine="715"/>
      <w:jc w:val="both"/>
    </w:pPr>
    <w:rPr/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Title1" w:customStyle="1">
    <w:name w:val="ConsPlusTitle1"/>
    <w:link w:val="ConsPlusTitle"/>
    <w:qFormat/>
    <w:pPr>
      <w:widowControl w:val="false"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qFormat/>
    <w:pPr/>
    <w:rPr>
      <w:rFonts w:ascii="Tahoma" w:hAnsi="Tahoma"/>
      <w:sz w:val="16"/>
    </w:rPr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iaeniineeI1" w:customStyle="1">
    <w:name w:val="Ciae niinee I Знак1"/>
    <w:basedOn w:val="Normal"/>
    <w:link w:val="CiaeniineeI"/>
    <w:qFormat/>
    <w:pPr>
      <w:spacing w:lineRule="exact" w:line="240" w:before="120" w:after="160"/>
    </w:pPr>
    <w:rPr>
      <w:vertAlign w:val="superscript"/>
    </w:rPr>
  </w:style>
  <w:style w:type="paragraph" w:styleId="111" w:customStyle="1">
    <w:name w:val="Название Знак11"/>
    <w:link w:val="13"/>
    <w:qFormat/>
    <w:pPr>
      <w:widowControl/>
      <w:bidi w:val="0"/>
      <w:spacing w:before="0" w:after="0"/>
      <w:jc w:val="start"/>
    </w:pPr>
    <w:rPr>
      <w:rFonts w:ascii="Cambria" w:hAnsi="Cambria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Cell1" w:customStyle="1">
    <w:name w:val="ConsPlusCell1"/>
    <w:link w:val="ConsPlusCell"/>
    <w:qFormat/>
    <w:pPr>
      <w:widowControl w:val="false"/>
      <w:bidi w:val="0"/>
      <w:spacing w:before="0" w:after="0"/>
      <w:jc w:val="star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Номер страницы1"/>
    <w:basedOn w:val="17"/>
    <w:qFormat/>
    <w:pPr/>
    <w:rPr/>
  </w:style>
  <w:style w:type="paragraph" w:styleId="112" w:customStyle="1">
    <w:name w:val="Абзац списка11"/>
    <w:basedOn w:val="Normal"/>
    <w:link w:val="14"/>
    <w:qFormat/>
    <w:pPr>
      <w:spacing w:lineRule="auto" w:line="276" w:before="280" w:after="200"/>
      <w:ind w:start="720"/>
    </w:pPr>
    <w:rPr>
      <w:rFonts w:ascii="Calibri" w:hAnsi="Calibri"/>
      <w:sz w:val="22"/>
    </w:rPr>
  </w:style>
  <w:style w:type="paragraph" w:styleId="Subtitle">
    <w:name w:val="Subtitle"/>
    <w:next w:val="Normal"/>
    <w:link w:val="Style15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link w:val="Style16"/>
    <w:uiPriority w:val="10"/>
    <w:qFormat/>
    <w:pPr>
      <w:jc w:val="center"/>
    </w:pPr>
    <w:rPr>
      <w:b/>
    </w:rPr>
  </w:style>
  <w:style w:type="paragraph" w:styleId="footnotedescription" w:customStyle="1">
    <w:name w:val="footnote description"/>
    <w:next w:val="Normal"/>
    <w:qFormat/>
    <w:rsid w:val="00d13295"/>
    <w:pPr>
      <w:widowControl/>
      <w:suppressAutoHyphens w:val="true"/>
      <w:bidi w:val="0"/>
      <w:spacing w:before="0" w:after="7"/>
      <w:ind w:firstLine="708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ru-RU" w:bidi="ar-SA"/>
    </w:rPr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A699-4F8E-4900-897E-BE393E5B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LibreOffice/25.8.2.2$Linux_X86_64 LibreOffice_project/d401f2107ccab8f924a8e2df40f573aab7605b6f</Application>
  <AppVersion>15.0000</AppVersion>
  <Pages>13</Pages>
  <Words>3826</Words>
  <Characters>29502</Characters>
  <CharactersWithSpaces>33224</CharactersWithSpaces>
  <Paragraphs>447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2025-08-13T04:02:00Z</dcterms:created>
  <dc:creator>User</dc:creator>
  <dc:description/>
  <dc:language>ru-RU</dc:language>
  <cp:lastModifiedBy/>
  <cp:lastPrinted>2025-09-04T09:49:00Z</cp:lastPrinted>
  <dcterms:modified xsi:type="dcterms:W3CDTF">2026-01-19T14:13:01Z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