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/>
      <w:bookmarkStart w:id="0" w:name="undefined"/>
      <w:r/>
      <w:bookmarkEnd w:id="0"/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60019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center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4"/>
          <w:szCs w:val="24"/>
        </w:rPr>
      </w:r>
      <w:r>
        <w:rPr>
          <w:rFonts w:ascii="Segoe UI" w:hAnsi="Segoe UI" w:cs="Segoe UI"/>
          <w:b/>
          <w:bCs/>
          <w:sz w:val="24"/>
          <w:szCs w:val="24"/>
        </w:rPr>
        <w:t xml:space="preserve">Как оформить безвозмездную передачу имущества в собственность?</w:t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</w:pPr>
      <w:r>
        <w:rPr>
          <w:rFonts w:ascii="Segoe UI" w:hAnsi="Segoe UI" w:eastAsia="Segoe UI" w:cs="Segoe UI"/>
          <w:i w:val="0"/>
          <w:iCs w:val="0"/>
          <w:sz w:val="24"/>
          <w:szCs w:val="24"/>
          <w:highlight w:val="none"/>
        </w:rPr>
        <w:t xml:space="preserve">Безвозмездная передача имущества в собственность оформляется договором дарения.</w:t>
      </w:r>
      <w:r/>
    </w:p>
    <w:p>
      <w:pPr>
        <w:jc w:val="both"/>
      </w:pPr>
      <w:r>
        <w:rPr>
          <w:rFonts w:ascii="Segoe UI" w:hAnsi="Segoe UI" w:eastAsia="Segoe UI" w:cs="Segoe UI"/>
          <w:i w:val="0"/>
          <w:iCs w:val="0"/>
          <w:sz w:val="24"/>
          <w:szCs w:val="24"/>
          <w:highlight w:val="none"/>
        </w:rPr>
        <w:t xml:space="preserve">По договору дарения одна сторона (даритель) безвозмездно передает или обязуется передать другой стороне (одаряемому) имущество в собственность.</w:t>
      </w:r>
      <w:r>
        <w:rPr>
          <w:rFonts w:ascii="Segoe UI" w:hAnsi="Segoe UI" w:eastAsia="Segoe UI" w:cs="Segoe UI"/>
          <w:i w:val="0"/>
          <w:iCs w:val="0"/>
          <w:sz w:val="24"/>
          <w:szCs w:val="24"/>
          <w:highlight w:val="none"/>
        </w:rPr>
      </w:r>
      <w:r/>
    </w:p>
    <w:p>
      <w:pPr>
        <w:jc w:val="both"/>
        <w:rPr>
          <w:rFonts w:ascii="Segoe UI" w:hAnsi="Segoe UI" w:cs="Segoe UI"/>
        </w:rPr>
      </w:pPr>
      <w:r>
        <w:rPr>
          <w:rFonts w:ascii="Segoe UI" w:hAnsi="Segoe UI" w:eastAsia="Segoe UI" w:cs="Segoe UI"/>
          <w:sz w:val="24"/>
          <w:szCs w:val="24"/>
        </w:rPr>
        <w:t xml:space="preserve">На основании п. 1 ст. 574 ГК РФ дарение, сопровождаемое передачей дара одаряемому, может быть совершено устно, за исключением случаев, предусмотренных п. п. 2 и 3 ст. 574 ГК РФ: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42"/>
        <w:numPr>
          <w:ilvl w:val="0"/>
          <w:numId w:val="4"/>
        </w:numPr>
        <w:jc w:val="both"/>
      </w:pPr>
      <w:r>
        <w:rPr>
          <w:rFonts w:ascii="Segoe UI" w:hAnsi="Segoe UI" w:eastAsia="Segoe UI" w:cs="Segoe UI"/>
          <w:i w:val="0"/>
          <w:iCs w:val="0"/>
          <w:sz w:val="24"/>
          <w:szCs w:val="24"/>
          <w:highlight w:val="none"/>
        </w:rPr>
        <w:t xml:space="preserve">Даритель — юридическое лицо, а стоимость подарка превышает 3 000 рублей.</w:t>
      </w:r>
      <w:r/>
    </w:p>
    <w:p>
      <w:pPr>
        <w:pStyle w:val="842"/>
        <w:numPr>
          <w:ilvl w:val="0"/>
          <w:numId w:val="4"/>
        </w:numPr>
        <w:jc w:val="both"/>
      </w:pPr>
      <w:r>
        <w:rPr>
          <w:rFonts w:ascii="Segoe UI" w:hAnsi="Segoe UI" w:eastAsia="Segoe UI" w:cs="Segoe UI"/>
          <w:i w:val="0"/>
          <w:iCs w:val="0"/>
          <w:sz w:val="24"/>
          <w:szCs w:val="24"/>
          <w:highlight w:val="none"/>
        </w:rPr>
        <w:t xml:space="preserve">Дарение обещано в будущем (например, передача имущества через год).</w:t>
      </w:r>
      <w:r/>
    </w:p>
    <w:p>
      <w:pPr>
        <w:jc w:val="both"/>
        <w:rPr>
          <w:rFonts w:ascii="Segoe UI" w:hAnsi="Segoe UI" w:cs="Segoe UI"/>
          <w:bCs w:val="0"/>
          <w:i w:val="0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color w:val="000000"/>
          <w:sz w:val="24"/>
          <w:szCs w:val="24"/>
          <w:highlight w:val="white"/>
        </w:rPr>
        <w:t xml:space="preserve">Договор дарения недвижимого имущества, заключенный между гражданами, подлежит нотариальному удостоверению.</w:t>
      </w:r>
      <w:r>
        <w:rPr>
          <w:rFonts w:ascii="Segoe UI" w:hAnsi="Segoe UI" w:cs="Segoe UI"/>
          <w:bCs w:val="0"/>
          <w:i w:val="0"/>
          <w:sz w:val="24"/>
          <w:szCs w:val="24"/>
          <w:highlight w:val="none"/>
        </w:rPr>
      </w:r>
      <w:r>
        <w:rPr>
          <w:rFonts w:ascii="Segoe UI" w:hAnsi="Segoe UI" w:cs="Segoe UI"/>
          <w:bCs w:val="0"/>
          <w:i w:val="0"/>
          <w:sz w:val="24"/>
          <w:szCs w:val="24"/>
          <w:highlight w:val="none"/>
        </w:rPr>
      </w:r>
    </w:p>
    <w:p>
      <w:pPr>
        <w:jc w:val="both"/>
        <w:rPr>
          <w:bCs/>
          <w:i/>
          <w:sz w:val="24"/>
          <w:szCs w:val="24"/>
          <w:highlight w:val="none"/>
        </w:rPr>
      </w:pPr>
      <w:r>
        <w:rPr>
          <w:rFonts w:ascii="Segoe UI" w:hAnsi="Segoe UI" w:eastAsia="Segoe UI" w:cs="Segoe UI"/>
          <w:i/>
          <w:iCs/>
          <w:sz w:val="24"/>
          <w:szCs w:val="24"/>
        </w:rPr>
        <w:t xml:space="preserve">«П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оследствием несоблюдения нотариальной формы договора в тех случаях, когда она обязательна (как, например, при дарении недвижимости между физическими лицами), является ничтожность договора, то есть такой договор не влечёт право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вого эффекта в виде перехода права собственности от дарителя к одаряемому,</w:t>
      </w:r>
      <w:r>
        <w:rPr>
          <w:rFonts w:ascii="Segoe UI" w:hAnsi="Segoe UI" w:eastAsia="Segoe UI" w:cs="Segoe UI"/>
          <w:sz w:val="24"/>
          <w:szCs w:val="24"/>
        </w:rPr>
        <w:t xml:space="preserve"> – отметила </w:t>
      </w:r>
      <w:r>
        <w:rPr>
          <w:rFonts w:ascii="Segoe UI" w:hAnsi="Segoe UI" w:eastAsia="Segoe UI" w:cs="Segoe UI"/>
          <w:sz w:val="24"/>
          <w:szCs w:val="24"/>
        </w:rPr>
        <w:t xml:space="preserve">заместитель руководителя Управления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Ирина Семкина</w:t>
      </w:r>
      <w:r>
        <w:rPr>
          <w:rFonts w:ascii="Segoe UI" w:hAnsi="Segoe UI" w:eastAsia="Segoe UI" w:cs="Segoe UI"/>
          <w:sz w:val="24"/>
          <w:szCs w:val="24"/>
        </w:rPr>
        <w:t xml:space="preserve">. –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При этом стороны должны быть приведены в первоначальное положение, существовавшее до заключения договора».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jc w:val="both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</w:r>
    </w:p>
    <w:p>
      <w:pPr>
        <w:ind w:left="0" w:right="0" w:firstLine="709"/>
        <w:jc w:val="both"/>
        <w:spacing w:before="0" w:after="0" w:line="288" w:lineRule="atLeast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2026-01-16T10:35:50Z</dcterms:modified>
</cp:coreProperties>
</file>