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39"/>
        <w:jc w:val="right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Приложение № 1</w:t>
      </w:r>
    </w:p>
    <w:p>
      <w:pPr>
        <w:pStyle w:val="Normal"/>
        <w:spacing w:lineRule="auto" w:line="240" w:before="0" w:after="0"/>
        <w:ind w:firstLine="539"/>
        <w:jc w:val="right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ind w:firstLine="539"/>
        <w:jc w:val="right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Тугулымского муниципального округа</w:t>
      </w:r>
    </w:p>
    <w:p>
      <w:pPr>
        <w:pStyle w:val="Normal"/>
        <w:spacing w:lineRule="auto" w:line="240" w:before="0" w:after="0"/>
        <w:ind w:firstLine="539"/>
        <w:jc w:val="right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от </w:t>
      </w:r>
      <w:r>
        <w:rPr>
          <w:rFonts w:cs="Liberation Serif" w:ascii="Liberation Serif" w:hAnsi="Liberation Serif"/>
          <w:sz w:val="20"/>
          <w:szCs w:val="20"/>
        </w:rPr>
        <w:t xml:space="preserve">01.12.2025 </w:t>
      </w:r>
      <w:r>
        <w:rPr>
          <w:rFonts w:cs="Liberation Serif" w:ascii="Liberation Serif" w:hAnsi="Liberation Serif"/>
          <w:sz w:val="20"/>
          <w:szCs w:val="20"/>
        </w:rPr>
        <w:t xml:space="preserve">№ </w:t>
      </w:r>
      <w:r>
        <w:rPr>
          <w:rFonts w:cs="Liberation Serif" w:ascii="Liberation Serif" w:hAnsi="Liberation Serif"/>
          <w:sz w:val="20"/>
          <w:szCs w:val="20"/>
        </w:rPr>
        <w:t>784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sz w:val="20"/>
          <w:szCs w:val="20"/>
          <w:highlight w:val="none"/>
          <w:shd w:fill="auto" w:val="clear"/>
        </w:rPr>
      </w:pPr>
      <w:r>
        <w:rPr>
          <w:rFonts w:cs="Times New Roman" w:ascii="Liberation Serif" w:hAnsi="Liberation Serif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sz w:val="20"/>
          <w:szCs w:val="20"/>
          <w:highlight w:val="none"/>
          <w:shd w:fill="auto" w:val="clear"/>
        </w:rPr>
      </w:pPr>
      <w:r>
        <w:rPr>
          <w:rFonts w:cs="Times New Roman" w:ascii="Liberation Serif" w:hAnsi="Liberation Serif"/>
          <w:sz w:val="20"/>
          <w:szCs w:val="20"/>
          <w:shd w:fill="auto" w:val="clear"/>
        </w:rPr>
        <w:t xml:space="preserve">КАРТА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0"/>
          <w:szCs w:val="20"/>
          <w:highlight w:val="none"/>
          <w:shd w:fill="auto" w:val="clear"/>
        </w:rPr>
      </w:pPr>
      <w:r>
        <w:rPr>
          <w:rFonts w:cs="Times New Roman" w:ascii="Liberation Serif" w:hAnsi="Liberation Serif"/>
          <w:sz w:val="20"/>
          <w:szCs w:val="20"/>
          <w:shd w:fill="auto" w:val="clear"/>
        </w:rPr>
        <w:t>коррупционных рисков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0"/>
          <w:szCs w:val="20"/>
          <w:highlight w:val="none"/>
          <w:shd w:fill="auto" w:val="clear"/>
        </w:rPr>
      </w:pPr>
      <w:r>
        <w:rPr>
          <w:rFonts w:cs="Times New Roman" w:ascii="Liberation Serif" w:hAnsi="Liberation Serif"/>
          <w:sz w:val="20"/>
          <w:szCs w:val="20"/>
          <w:shd w:fill="auto" w:val="clear"/>
        </w:rPr>
        <w:t xml:space="preserve">в </w:t>
      </w:r>
      <w:r>
        <w:rPr>
          <w:rFonts w:cs="Times New Roman" w:ascii="Liberation Serif" w:hAnsi="Liberation Serif"/>
          <w:sz w:val="20"/>
          <w:szCs w:val="20"/>
          <w:shd w:fill="auto" w:val="clear"/>
        </w:rPr>
        <w:t>администрации Тугулымского муниципального округа</w:t>
      </w:r>
    </w:p>
    <w:tbl>
      <w:tblPr>
        <w:tblStyle w:val="a3"/>
        <w:tblW w:w="1478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5"/>
        <w:gridCol w:w="3510"/>
        <w:gridCol w:w="3360"/>
        <w:gridCol w:w="2085"/>
        <w:gridCol w:w="1327"/>
        <w:gridCol w:w="3769"/>
      </w:tblGrid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пп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Коррупционно опасная функция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Типовые ситуации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Наименование должности муниципальной службы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Степень риска (низкая, средняя, высокая)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Меры по управлению коррупционными рисками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 распорядительных или административно хозяйственных функций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Единоличное подписание заявлений, соглашений, договоров, контрактов, принятие решений, содержащих условия, влекущие предоставление необоснованных льгот и преференций третьим лицам.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Глава,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заместители главы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Согласование принимаемых решений с руководителями структурных подразделений, курирующих соответствующее направление.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Создание рабочих групп, комиссий и т.п. для коллегиального рассмотрения вопросов в целях принятия руководителем объективного и правомерного решения.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служащим: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мер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Подготовка проектов нормативных правовых актов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Разработка и согласование проектов нормативных правовых актов, содержащих коррупционные факторы</w:t>
            </w:r>
          </w:p>
        </w:tc>
        <w:tc>
          <w:tcPr>
            <w:tcW w:w="208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Все отделы администрации, подготавливающие нормативные правовые акты в рамках исполнения своих функций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разъяснение служащим: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Согласование проектов нормативных правовых актов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Согласование проектов нормативных правовых актов, содержащих коррупционные факторы. 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Заместители главы, начальники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управлений,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начальники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отделов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Нормативное регулирование порядка, способа и сроков совершения действий служащим при осуществлении коррупционно-опасной функции; Информирование населения о возможности и необходимости участия в проведении независимой антикоррупционной экспертизы проектов муниципальных нормативных правовых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актов.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Разъяснение служащим: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Назначение на муниципальные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должности, включая проведение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аттестации, квалификационных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экзаменов муниципальных служащих, конкурсов на замещение вакантных должностей муниципальной службы и включение муниципальных служащих в кадровый резерв.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Предоставление не предусмотренных законом преимуществ (протекционизм, семейственность) для поступления на муниципальную службу, принятие решения о трудоустройстве в отношении лица, не отвечающего квалификационным требованиям. Победителем конкурса на замещение вакантной должности, на включение в кадровый резерв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Глава,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заместители главы, главный специалист по вопросам муниципальной службы и кадрам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низкая</w:t>
            </w:r>
          </w:p>
        </w:tc>
        <w:tc>
          <w:tcPr>
            <w:tcW w:w="3769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Коллегиальное принятие решений.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Размещение на официальном сайте информации о результатах конкурса.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муниципальным служащим: 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мер ответственности за совершение коррупционных правонарушений; повышение личной ответственности путем подписания заявления об отсутствии конфликта интересов, контроль за осуществлением процедур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Осуществление сбора и проверки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семей, а также граждан, претендующих на замещение должности муниципальной службы и должности руководителя муниципальных учреждений 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членов их семей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 ходе организации работы по сбору и проверке сведений о доходах муниципальному служащему от заинтересованных лиц поступило предложение за вознаграждение скрыть выявленные нарушения;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главный специалист по вопросам муниципальной службы и кадрам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муниципальным служащим: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мер ответственности за совершение коррупционных правонарушений; повышение личной ответственности путем подписания заявления об отсутствии конфликта интересов, контроль за осуществлением процедур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Предоставление муниципальных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услуг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Не соблюдение должностным лицом, сроков предоставления  муниципальной услуги.  Установление необоснованных преимуществ при оказании государственной (муниципальной) услуги. Незаконное оказание либо отказ в оказании муниципальной услуги. Требование от граждан (юридических лиц) документов (информации), предоставление которых не предусмотрено административным регламентом. Нарушение установленного порядка исполнения запросов.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Все отделы администрации, в рамках исполнения своих функций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Установление четкой регламентации  способа и сроков совершения действий должностным лицом.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Нормативное регулирование порядка оказания муниципальной услуги;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размещение на официальном сайте Администрации Административного регламента предоставления муниципальной услуги; Осуществление контроля за исполнением положений Административного регламента оказания муниципальных услуг. Проведение исключительно публичных, конкурентных процедур на право аренды имущества, находящегося в собственности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оптимизация перечня документов (информации), которые граждане (юридические лица) обязаны предоставить.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служащим: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мер ответственности за совершение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Организация, подготовка и проведение торгов на право продажи и аренды имущества,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находящегося в муниципальной собственности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Подготовка незаконных отказов в рассмотрении заявлений либо необоснованная подготовка договора аренды в пользу третьих лиц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Отдел имущественных и земельных отношений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Установление четкой регламентации способа совершения действий должностным лицом; Проведение исключительно публичных, конкурентных процедур на право аренды имущества, находящегося в муниципальной собственности.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служащим: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мер ответственности за совершение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в пределах полномочий органа местного самоуправления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Осуществлением административного производства, в интересах правонарушителя, подарок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Секретарь административной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комиссии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должностным лицам: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 установленных действующим законодательством Российской Федерации мерах ответственности за получение взятки, незаконное вознаграждение;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9.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Проведение антикоррупционной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экспертизы проектов муниципальных нормативных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правовых актов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Согласование проектов нормативных правовых актов, содержащих коррупциогенные факторы. Не составление экспертного заключения по результатам проведения антикоррупционной экспертизы о наличии коррупциогенных факторов в проекте муниципального нормативного правового акта  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Юридический отдел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Организация повышения уровня знаний и профессионализма муниципальных служащих, осуществляющих проведение антикоррупционной экспертизы. Перераспределение функций между муниципальными служащими внутри структурного подразделения. Разъяснение муниципальным служащим мер ответственности за совершение коррупционных правонарушений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Защита прав и законных интересов Администрации в арбитражных судах, судах общей юрисдикции, при рассмотрении дел мировыми судьями, в Федеральной антимонопольной службе и иных органах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Злоупотребление предоставленными полномочиями: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согласование позиции представления в суде интересов администрации,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используя договоренность с участниками процесса;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выработка позиции представления в суде интересов, используя договоренность с участниками процесса.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Получение положительного решения по делам о защите прав и законных интересов администрации: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используя договоренность с участниками процесса;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умалчивая о фактических обстоятельствах дела,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инициируя разработку проекта нормативного правового акта, содержащего коррупциогенные факторы.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Пассивная позиция при защите интересов администрации.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Юридический отдел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Разъяснение служащим: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ответственности за совершение коррупционных правонарушений;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Публикация решений судов в системе обмена информации; Анализ материалов судебных дел в части реализации представителем Администрации утвержденной правовой позиции. Обжалование судебных актов, актов Федеральной антимонопольной службы и иных органов. 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11.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Организация договорной работы в Администрации, включающей в себя правовую экспертизу проектов договоров, контрактов (соглашений) и подготовку по ним заключений, замечаний и предложений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Согласование проектов договоров, контрактов (соглашений), предоставляющих необоснованные преимущества отдельным субъектам, в соответствии с полученным от заинтересованных лиц вознаграждением. Подготовка экспертного заключения, содержащего выводы об отсутствии коррупционных факторов при условии их наличия в проектах договоров, контрактах (соглашений), предоставляющих необоснованные преимущества отдельным субъектам, в соответствии с полученным от заинтересованных лиц вознаграждением. Заключение договоров путем проведения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заинтересованных лиц вознаграждением. Подготовка экспертного заключения, содержащего выводы об отсутствии коррупционных факторов при их наличии в проектах договоров, контрактов (соглашений), предоставляющих необоснованные преимущества отдельным субъектам, в соответствии с полученным от заинтересованных лиц вознаграждением 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Юридический отдел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муниципальным служащим мер ответственности за совершение коррупционных правонарушений.  Исключение необходимости личного взаимодействия (общения) должностных лиц с гражданами и организациями.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Заключение договоров, контрактов (соглашений) после соблюдения процедуры согласования со всеми заинтересованными структурными подразделениями Администрации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Проведение конкурсных процедур,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12.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Проверка представленных Заказчиками Тугулымского муниципального округа документаций по закупкам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Наличие в муниципальных контрактах условий, направленных на получение муниципальными Заказчиками, а также какими-либо определенными участниками закупок льгот, преференций, компенсаций, иных дополнительных преимуществ, а также условий, направленных на получение участниками закупок от муниципальных Заказчиков необоснованных расходов, компенсаций, возмещений не понесенных растрат и расходов; 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Юридический отдел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Исключение коррупционных условий в муниципальных контрактах, внутреннее информирование, проведение разъяснительной работы. Нормативное регулирование порядка, способа и сроков совершения действий при  осуществлении функций.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13.</w:t>
            </w:r>
          </w:p>
        </w:tc>
        <w:tc>
          <w:tcPr>
            <w:tcW w:w="3510" w:type="dxa"/>
            <w:vMerge w:val="restart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 ходе разработки и составления документации, подготовки проектов муниципальных контрактов установление необоснованных преимуществ для отдельных участников закупки.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порядка, способа и сроков совершения действий служащим при осуществлении коррупционно опасной функции; проведение антикоррупционной экспертизы проектов муниципальных контрактов, договоров либо технических заданий к ним; разъяснение служащим: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При подготовке обоснования начальной (максимальной) цены контракта необоснованно: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- расширен (ограничен) круг возможных участников закупки; 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необоснованно завышена (занижена) начальная (максимальная) цена контракта.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FFFFFF" w:themeFill="background1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Подготовка отчета об исследовании рынка начальной цены контракта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15.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начальники сельских и поселковых управ администрации;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начальник Управления образования администрации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 и сроков совершения действий служащим при осуществлении коррупционно опасной функции; привлечение к подготовке проектов муниципальных контрактов (договоров) представителей иных структурных подразделений Администрации.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16.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лица, уполномоченные на приемку товаров, работ, услуг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Комиссионный прием результатов выполненных работ (поставленных товаров, оказанных услуг);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Разъяснение служащим: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- ответственности за совершение коррупционных правонарушений.</w:t>
            </w:r>
          </w:p>
          <w:p>
            <w:pPr>
              <w:pStyle w:val="NormalWeb"/>
              <w:widowControl/>
              <w:spacing w:before="28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17.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Заинтересованные в закупке лица – ответственные за ведение муниципальных программ – начальники отделов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порядка, способа и сроков совершения действий служащим при осуществлении коррупционно опасной функции; привлечение к подготовке документации представителей иных структурных подразделений органа местного самоуправления.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18.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 целях заключения муниципального контракта (договора) с подрядной организацией, не имеющей специального разрешения на проведение определенного вида работ, представителем организации за вознаграждение предлагается при разработке документации либо проекта муниципального контракта 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лица, уполномоченные на приемку товаров, работ, услуг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порядка, способа и сроков совершения действий служащим при осуществлении коррупционно опасной функции;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привлечение к подготовке документации представителей иных структурных подразделений органа местного самоуправления.</w:t>
            </w:r>
          </w:p>
          <w:p>
            <w:pPr>
              <w:pStyle w:val="NormalWeb"/>
              <w:widowControl/>
              <w:spacing w:before="280" w:after="0"/>
              <w:jc w:val="center"/>
              <w:rPr>
                <w:rFonts w:ascii="Liberation Serif" w:hAnsi="Liberation Serif"/>
                <w:color w:val="3B2D36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color w:val="3B2D36"/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19.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 xml:space="preserve">При ведении претензионной </w:t>
            </w: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 муниципального контракта (договора).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Специалисты юридического отдела;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ведущий специалист по закупкам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 и сроков совершения действий служащим при осуществлении коррупционно опасной функции;</w:t>
            </w:r>
          </w:p>
        </w:tc>
      </w:tr>
      <w:tr>
        <w:trPr>
          <w:trHeight w:val="1070" w:hRule="atLeast"/>
        </w:trPr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Прямые контакты и переговоры с потенциальным участником закупки.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Члены единой комиссии по осуществлению закупок; члены контрактной службы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28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регулирование порядка и сроков совершения действий служащим при осуществлении коррупционно опасной функции.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21.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Участие в голосовании при наличии близкого родства или свойства с участником закупки.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Члены комиссии по осуществлению закупок; члены контрактной службы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Низкая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Нормативное закрепление порядка раскрытия конфликта интересов и его урегулирования; повышение личной ответственности членов комиссии путем подписания ими заявлений об отсутствии конфликта интересов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22.</w:t>
            </w:r>
          </w:p>
        </w:tc>
        <w:tc>
          <w:tcPr>
            <w:tcW w:w="351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Осуществление функций главного распорядителя и получателя бюджетных средств, предусмотренных на финансирование возложенных на орган местного самоуправления полномочий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должностное лицо выявляет, что определенные работы (услуги):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уже были ранее оплачены;  не предусмотрены муниципальным контрактом (договором).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При этом от заинтересованного лица должностному лицу поступает предложение за вознаграждение провести оплату</w:t>
            </w:r>
          </w:p>
        </w:tc>
        <w:tc>
          <w:tcPr>
            <w:tcW w:w="2085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Отдел бухгалтерского учета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Исключение необходимости личного взаимодействия (общения) должностных лиц с гражданами и представителями организаций.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должностным лицам: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23.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b/>
                <w:bCs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В целях получения материальной выгоды от заинтересованного лица должностному лицу поступает предложение за вознаграждение: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скрыть наличие просроченной дебиторской задолженности;   не принимать надлежащие меры к погашению просроченной дебиторской задолженности</w:t>
            </w:r>
          </w:p>
        </w:tc>
        <w:tc>
          <w:tcPr>
            <w:tcW w:w="2085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24.</w:t>
            </w:r>
          </w:p>
        </w:tc>
        <w:tc>
          <w:tcPr>
            <w:tcW w:w="351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Осуществление полномочий собственника (учредителя) в отношении подведомственных Администрации организаций</w:t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Принятие решений о распределении бюджетных ассигнований, субсидий, межбюджетных трансфертов с нарушением установленного порядка в обмен на полученное (обещанное) вознаграждение</w:t>
            </w:r>
          </w:p>
        </w:tc>
        <w:tc>
          <w:tcPr>
            <w:tcW w:w="20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Начальник финансового управления; начальник отдела бухгалтерского учета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Привлечение к принятию решений представителей иных структурных подразделений Администрации;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Разъяснение должностным лицам: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25. </w:t>
            </w:r>
          </w:p>
        </w:tc>
        <w:tc>
          <w:tcPr>
            <w:tcW w:w="351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учреждений.</w:t>
            </w:r>
          </w:p>
        </w:tc>
        <w:tc>
          <w:tcPr>
            <w:tcW w:w="208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Начальник отдела имущественных и земельных отношений;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начальники сельских и поселковых управ;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управление образования;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заместитель главы Тугулымского МО, курирующий деятельность муниципальных организаций</w:t>
            </w:r>
          </w:p>
        </w:tc>
        <w:tc>
          <w:tcPr>
            <w:tcW w:w="1327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Установление четкой регламентации порядка и сроков совершения действий служащим.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26.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Предоставление имущества, составляющего муниципальную казну, в аренду</w:t>
            </w:r>
          </w:p>
        </w:tc>
        <w:tc>
          <w:tcPr>
            <w:tcW w:w="3360" w:type="dxa"/>
            <w:tcBorders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Необоснованное занижение арендной платы за передаваемое в аренду имущество или установление иных условий аренды в пользу арендатора в обмен на полученное (обещанное) вознаграждение.</w:t>
            </w:r>
          </w:p>
        </w:tc>
        <w:tc>
          <w:tcPr>
            <w:tcW w:w="208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Начальник имущественных и земельных отношений</w:t>
            </w:r>
          </w:p>
        </w:tc>
        <w:tc>
          <w:tcPr>
            <w:tcW w:w="1327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Высокая</w:t>
            </w:r>
          </w:p>
        </w:tc>
        <w:tc>
          <w:tcPr>
            <w:tcW w:w="3769" w:type="dxa"/>
            <w:tcBorders/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Осуществление функций контроля (надзора) в рамках полномочий Администрации 1.Муниципальный земельный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контроль в границах Тугулымского МО;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2.Муниципальный лесной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контроль в Тугулымском МО;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3.Муниципальный контроль за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обеспечением сохранности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автомобильных дорог местного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значения в границах Тугулымского МО;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4.Муниципальный жилищный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контроль в Тугулымском МО;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5.Муниципальный контроль за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соблюдением Правил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благоустройства в Тугулымском МО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Принятие решения о проведении мероприятий по контролю (надзору) выборочно в отношении отдельных органов (организаций)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Отдел имущественных и земельных отношений;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Liberation Serif" w:hAnsi="Liberation Serif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0"/>
                <w:szCs w:val="20"/>
                <w:shd w:fill="auto" w:val="clear"/>
                <w:lang w:val="ru-RU" w:bidi="ar-SA"/>
              </w:rPr>
              <w:t>Отдел жизнеобеспечения и строительства;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начальники сельских и поселковых управ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Нормативное регулирование, установление четкой регламентации способа и сроков совершения действий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при осуществлении коррупционно-опасной функции; комиссионное проведение контрольных (надзорных) мероприятий;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Проведение профилактических бесед (семинаров);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Размещение на официальном сайте Администрации в информационно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телекоммуникационной сети «Интернет»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информации о результатах проверок.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разъяснение служащим: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ответственности за совершение коррупционных правонарушений.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28.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Внутренний муниципальный финансовый контроль. Муниципальный контроль за соблюдением законодательства РФ и иных нормативных правовых актов РФ о контрактной системе в сфере закупок товаров, работ и услуг для муниципальных нужд обеспечения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-включение в план проведения проверок без наличия основания 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условий.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-не включение в план проведения при наличии оснований и условий.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-намеренное сокращение или увеличение перечня мероприятий по контролю, необходимых для достижения целей и задач проведения проверки.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-требование информации, документов,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не относящихся к предмету проверки. -проведение проверки с нарушением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требований законодательства Российской Федерации, не выявляя нарушения.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-оформление результатов проверки, умышленно не указывая выявленные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нарушения.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-не выдача предписания об устранении нарушений законодательства РФ</w:t>
            </w:r>
          </w:p>
        </w:tc>
        <w:tc>
          <w:tcPr>
            <w:tcW w:w="20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Финансовое управление администрации</w:t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Контроль за проведением мероприятий;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Нормативное регулирование, установление регламентации способа и сроков совершения действий при осуществлении коррупционно-опасной функции;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проведение (семинаров);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размещение результатов контроля  на официальном сайте в сети «Интернет», на сайте «Единой информационной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системы в сфере закупок» (ЕИС).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Осуществление контрольных мероприятий коллегиальным органом;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Применение мер дисциплинарных взысканий;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Разъяснение муниципальным служащим: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29.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Эффективное использование средств бюджета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Нецелевое использование бюджетных средств. Недостаточно эффективный предварительный и последующий контроль за использованием предоставленных бюджетных средств</w:t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высокая</w:t>
            </w:r>
          </w:p>
        </w:tc>
        <w:tc>
          <w:tcPr>
            <w:tcW w:w="37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Усиление контроля за использованием средств бюджета Тугулымского МО;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Разъяснение муниципальным служащим: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мер ответственности за совершение коррупционных правонарушений.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erif" w:hAnsi="Liberation Serif" w:eastAsia="Calibri" w:cs="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Строгое соблюдение проведения контроля за распределением средств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sz w:val="20"/>
          <w:szCs w:val="20"/>
          <w:highlight w:val="none"/>
          <w:shd w:fill="auto" w:val="clear"/>
        </w:rPr>
      </w:pPr>
      <w:r>
        <w:rPr>
          <w:rFonts w:cs="Times New Roman" w:ascii="Liberation Serif" w:hAnsi="Liberation Serif"/>
          <w:sz w:val="20"/>
          <w:szCs w:val="20"/>
          <w:shd w:fill="auto" w:val="clear"/>
        </w:rPr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1f6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2971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25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LibreOffice/25.8.2.2$Linux_X86_64 LibreOffice_project/d401f2107ccab8f924a8e2df40f573aab7605b6f</Application>
  <AppVersion>15.0000</AppVersion>
  <Pages>10</Pages>
  <Words>2547</Words>
  <Characters>20972</Characters>
  <CharactersWithSpaces>23339</CharactersWithSpaces>
  <Paragraphs>300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2025-11-25T07:49:00Z</dcterms:created>
  <dc:creator>Сергей Кротов</dc:creator>
  <dc:description/>
  <dc:language>ru-RU</dc:language>
  <cp:lastModifiedBy/>
  <cp:lastPrinted>2025-11-25T07:48:00Z</cp:lastPrinted>
  <dcterms:modified xsi:type="dcterms:W3CDTF">2025-12-01T14:59:40Z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