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Заголовок: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четыре года «гаражной амнистии» жители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оформили почти 5 тысяч </w:t>
      </w:r>
      <w:r>
        <w:rPr>
          <w:rFonts w:ascii="Liberation Serif" w:hAnsi="Liberation Serif" w:cs="Liberation Serif"/>
          <w:sz w:val="28"/>
          <w:szCs w:val="28"/>
        </w:rPr>
        <w:t xml:space="preserve">гаражей и </w:t>
      </w:r>
      <w:r>
        <w:rPr>
          <w:rFonts w:ascii="Liberation Serif" w:hAnsi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cs="Liberation Serif"/>
          <w:sz w:val="28"/>
          <w:szCs w:val="28"/>
        </w:rPr>
        <w:t xml:space="preserve"> тысяч </w:t>
      </w:r>
      <w:r>
        <w:rPr>
          <w:rFonts w:ascii="Liberation Serif" w:hAnsi="Liberation Serif" w:cs="Liberation Serif"/>
          <w:sz w:val="28"/>
          <w:szCs w:val="28"/>
        </w:rPr>
        <w:t xml:space="preserve">земельных участков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Текст: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Жители Свердловской области оформили </w:t>
      </w:r>
      <w:r>
        <w:rPr>
          <w:rFonts w:ascii="Liberation Serif" w:hAnsi="Liberation Serif" w:cs="Liberation Serif"/>
          <w:sz w:val="28"/>
          <w:szCs w:val="28"/>
        </w:rPr>
        <w:t xml:space="preserve">4959 гаражей и 6679 земельных участков под ними за четыре года реализации программы «гаражная амнистия».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Напомним, гаражные боксы, </w:t>
      </w:r>
      <w:r>
        <w:rPr>
          <w:rFonts w:ascii="Liberation Serif" w:hAnsi="Liberation Serif" w:cs="Liberation Serif"/>
          <w:sz w:val="28"/>
          <w:szCs w:val="28"/>
        </w:rPr>
        <w:t xml:space="preserve">возведенные до введения в действие Градостроительного кодекса РФ (30 декабря 2004 года) и земельные участки под ними</w:t>
      </w:r>
      <w:r>
        <w:rPr>
          <w:rFonts w:ascii="Liberation Serif" w:hAnsi="Liberation Serif" w:cs="Liberation Serif"/>
          <w:sz w:val="28"/>
          <w:szCs w:val="28"/>
        </w:rPr>
        <w:t xml:space="preserve"> можно упрощённо оформить </w:t>
      </w:r>
      <w:r>
        <w:rPr>
          <w:rFonts w:ascii="Liberation Serif" w:hAnsi="Liberation Serif" w:cs="Liberation Serif"/>
          <w:sz w:val="28"/>
          <w:szCs w:val="28"/>
        </w:rPr>
        <w:t xml:space="preserve">до 1 сентября 2026 года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rFonts w:ascii="Liberation Serif" w:hAnsi="Liberation Serif" w:cs="Liberation Serif" w:eastAsiaTheme="minorHAnsi"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«Процедура оформления объекта по «гаражной амнистии» максимально простая. Гражданину достаточно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подать заявление в Мингосимущество Свердловской области через отделение МФЦ или портал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либо в администрацию муниципалитета по месту нахождения гаража и земельного участка под ним.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Ежегодно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отмечается рост количества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заявлений, пост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упающих в наше министерство по «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гаражной амнис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тии»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–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отмечает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исполняющий обязанности Заместителя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Губернатора Свердловской области – Министр по управлению государственным имуществом Свердловской области </w:t>
      </w:r>
      <w:r>
        <w:rPr>
          <w:rFonts w:ascii="Liberation Serif" w:hAnsi="Liberation Serif" w:cs="Liberation Serif" w:eastAsiaTheme="minorHAnsi"/>
          <w:b/>
          <w:sz w:val="28"/>
          <w:szCs w:val="28"/>
          <w:lang w:eastAsia="en-US"/>
        </w:rPr>
        <w:t xml:space="preserve">Алексей Кузнецов.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rFonts w:ascii="Liberation Serif" w:hAnsi="Liberation Serif" w:cs="Liberation Serif" w:eastAsiaTheme="minorHAnsi"/>
          <w:b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Отметим, возможно подать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од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ин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из имеющихся документов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на гараж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, таких как договор о подключении гаража к сетям инженерно-технического обеспечения, о предоставлении коммунальных услуг в связи с использованием гаража, документы, подтверждающие оплату коммунальных услуг, те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хнической инвентаризации гаража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. С 2022 года 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для удобства граждан перечень документов, которые могут быть основанием для оформления прав на гараж и земельный участок под ним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расширен З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акон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ом Свердловской области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 от 25.05.2022 N 48-ОЗ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.</w:t>
      </w:r>
      <w:r>
        <w:rPr>
          <w:rFonts w:ascii="Liberation Serif" w:hAnsi="Liberation Serif" w:cs="Liberation Serif"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«Государственная реги</w:t>
      </w:r>
      <w:r>
        <w:rPr>
          <w:rFonts w:ascii="Liberation Serif" w:hAnsi="Liberation Serif" w:cs="Liberation Serif"/>
          <w:sz w:val="28"/>
          <w:szCs w:val="28"/>
        </w:rPr>
        <w:t xml:space="preserve">страция – единственное доказательство существования зарегистрированного права. Только собственники недвижимости могут беспрепятственно распоряжаться ей (продавать, дарить, обменивать, передавать в аренду). Наличие права является необходимым условием предос</w:t>
      </w:r>
      <w:r>
        <w:rPr>
          <w:rFonts w:ascii="Liberation Serif" w:hAnsi="Liberation Serif" w:cs="Liberation Serif"/>
          <w:sz w:val="28"/>
          <w:szCs w:val="28"/>
        </w:rPr>
        <w:t xml:space="preserve">тавления компенсационных выплат в случае утраты объектов недвижимости в результате пожаров, наводнений и иных стихийных бедствий, а также при резервировании земель для строительства на них социально – значимых объектов», - сообщает руководитель Управления </w:t>
      </w:r>
      <w:r>
        <w:rPr>
          <w:rFonts w:ascii="Liberation Serif" w:hAnsi="Liberation Serif" w:cs="Liberation Serif"/>
          <w:sz w:val="28"/>
          <w:szCs w:val="28"/>
        </w:rPr>
        <w:t xml:space="preserve">Росреестра</w:t>
      </w:r>
      <w:r>
        <w:rPr>
          <w:rFonts w:ascii="Liberation Serif" w:hAnsi="Liberation Serif" w:cs="Liberation Serif"/>
          <w:sz w:val="28"/>
          <w:szCs w:val="28"/>
        </w:rPr>
        <w:t xml:space="preserve"> по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Игорь </w:t>
      </w:r>
      <w:r>
        <w:rPr>
          <w:rFonts w:ascii="Liberation Serif" w:hAnsi="Liberation Serif" w:cs="Liberation Serif"/>
          <w:b/>
          <w:sz w:val="28"/>
          <w:szCs w:val="28"/>
        </w:rPr>
        <w:t xml:space="preserve">Цыганаш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Закон о «гаражной амнистии» вступил в силу с 1 сентября 2021 года. </w:t>
      </w:r>
      <w:r>
        <w:rPr>
          <w:rFonts w:ascii="Liberation Serif" w:hAnsi="Liberation Serif" w:cs="Liberation Serif"/>
          <w:sz w:val="28"/>
          <w:szCs w:val="28"/>
        </w:rPr>
        <w:t xml:space="preserve">Благодаря </w:t>
      </w:r>
      <w:r>
        <w:rPr>
          <w:rFonts w:ascii="Liberation Serif" w:hAnsi="Liberation Serif" w:cs="Liberation Serif"/>
          <w:sz w:val="28"/>
          <w:szCs w:val="28"/>
        </w:rPr>
        <w:t xml:space="preserve">закону </w:t>
      </w:r>
      <w:bookmarkStart w:id="0" w:name="_GoBack"/>
      <w:r/>
      <w:bookmarkEnd w:id="0"/>
      <w:r>
        <w:rPr>
          <w:rFonts w:ascii="Liberation Serif" w:hAnsi="Liberation Serif" w:cs="Liberation Serif"/>
          <w:sz w:val="28"/>
          <w:szCs w:val="28"/>
        </w:rPr>
        <w:t xml:space="preserve">упрощен порядок оформления прав граждан на гаражи и земельные участки, на которых они расположены. Речь идет только о гаражах, расположенных на муниципальной или государственной земле.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Гаражи, постр</w:t>
      </w:r>
      <w:r>
        <w:rPr>
          <w:rFonts w:ascii="Liberation Serif" w:hAnsi="Liberation Serif" w:cs="Liberation Serif"/>
          <w:sz w:val="28"/>
          <w:szCs w:val="28"/>
        </w:rPr>
        <w:t xml:space="preserve">оенные после 30 декабря 2004 года, самовольно возведённые на чужой земле, встроенные в другие здания или подземные гаражи многоэтажек, используемые для предпринимательской деятельности, металлические гаражи без фундамента («ракушки») не получится узаконить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23"/>
        <w:ind w:firstLine="709"/>
        <w:jc w:val="both"/>
        <w:spacing w:before="0" w:beforeAutospacing="0" w:after="0" w:afterAutospacing="0"/>
        <w:rPr>
          <w:rFonts w:ascii="Liberation Serif" w:hAnsi="Liberation Serif" w:cs="Liberation Serif" w:eastAsiaTheme="minorHAnsi"/>
          <w:sz w:val="28"/>
          <w:szCs w:val="28"/>
          <w:lang w:eastAsia="en-US"/>
        </w:rPr>
      </w:pP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  <w:t xml:space="preserve">Земельный участок, находящийся в государственной или муниципальной собственности, на котором расположен гараж, предоставляется гражданам в собственность бесплатно.</w:t>
      </w:r>
      <w:r>
        <w:rPr>
          <w:rFonts w:ascii="Liberation Serif" w:hAnsi="Liberation Serif" w:cs="Liberation Serif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1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707" w:bottom="142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Ракетская Ольга Александровна</dc:creator>
  <cp:keywords/>
  <dc:description/>
  <cp:revision>3</cp:revision>
  <dcterms:created xsi:type="dcterms:W3CDTF">2025-10-13T12:46:00Z</dcterms:created>
  <dcterms:modified xsi:type="dcterms:W3CDTF">2025-10-16T08:40:07Z</dcterms:modified>
</cp:coreProperties>
</file>