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jc w:val="center"/>
        <w:spacing w:after="0" w:line="240" w:lineRule="auto"/>
        <w:rPr>
          <w:rFonts w:ascii="Segoe UI" w:hAnsi="Segoe UI" w:cs="Segoe UI" w:eastAsiaTheme="minorEastAsia"/>
          <w:sz w:val="28"/>
          <w:szCs w:val="28"/>
          <w:lang w:eastAsia="sk-SK"/>
        </w:rPr>
      </w:pPr>
      <w:r>
        <w:rPr>
          <w:rFonts w:cs="Times New Roman" w:eastAsiaTheme="minorEastAsia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-304800</wp:posOffset>
                </wp:positionV>
                <wp:extent cx="2692400" cy="981075"/>
                <wp:effectExtent l="0" t="0" r="0" b="0"/>
                <wp:wrapNone/>
                <wp:docPr id="1" name="Рисунок 1" descr="C:\Users\ЗилаловаГП\Downloads\imgonline-com-ua-Resize-AxUH5qc9MGoX5H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C:\Users\ЗилаловаГП\Downloads\imgonline-com-ua-Resize-AxUH5qc9MGoX5HD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69240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-3.00pt;mso-position-horizontal:absolute;mso-position-vertical-relative:text;margin-top:-24.00pt;mso-position-vertical:absolute;width:212.00pt;height:77.25pt;mso-wrap-distance-left:9.00pt;mso-wrap-distance-top:0.00pt;mso-wrap-distance-right:9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Segoe UI" w:hAnsi="Segoe UI" w:cs="Segoe UI" w:eastAsiaTheme="minorEastAsia"/>
          <w:sz w:val="28"/>
          <w:szCs w:val="28"/>
          <w:lang w:eastAsia="sk-SK"/>
        </w:rPr>
      </w:r>
    </w:p>
    <w:p>
      <w:pPr>
        <w:ind w:firstLine="708"/>
        <w:jc w:val="right"/>
        <w:spacing w:after="0" w:line="240" w:lineRule="auto"/>
        <w:rPr>
          <w:rFonts w:ascii="Segoe UI" w:hAnsi="Segoe UI" w:cs="Segoe UI" w:eastAsiaTheme="minorEastAsia"/>
          <w:sz w:val="28"/>
          <w:szCs w:val="28"/>
          <w:lang w:eastAsia="sk-SK"/>
        </w:rPr>
      </w:pPr>
      <w:r>
        <w:rPr>
          <w:rFonts w:ascii="Segoe UI" w:hAnsi="Segoe UI" w:cs="Segoe UI" w:eastAsiaTheme="minorEastAsia"/>
          <w:sz w:val="28"/>
          <w:szCs w:val="28"/>
          <w:lang w:eastAsia="sk-SK"/>
        </w:rPr>
      </w:r>
      <w:r>
        <w:rPr>
          <w:rFonts w:ascii="Segoe UI" w:hAnsi="Segoe UI" w:cs="Segoe UI" w:eastAsiaTheme="minorEastAsia"/>
          <w:sz w:val="28"/>
          <w:szCs w:val="28"/>
          <w:lang w:eastAsia="sk-SK"/>
        </w:rPr>
      </w:r>
    </w:p>
    <w:p>
      <w:pPr>
        <w:ind w:firstLine="708"/>
        <w:jc w:val="right"/>
        <w:spacing w:after="0" w:line="240" w:lineRule="auto"/>
        <w:rPr>
          <w:rFonts w:ascii="Segoe UI" w:hAnsi="Segoe UI" w:cs="Segoe UI" w:eastAsiaTheme="minorEastAsia"/>
          <w:b/>
          <w:sz w:val="28"/>
          <w:szCs w:val="28"/>
          <w:lang w:eastAsia="sk-SK"/>
        </w:rPr>
      </w:pPr>
      <w:r>
        <w:rPr>
          <w:rFonts w:ascii="Segoe UI" w:hAnsi="Segoe UI" w:cs="Segoe UI" w:eastAsiaTheme="minorEastAsia"/>
          <w:b/>
          <w:sz w:val="28"/>
          <w:szCs w:val="28"/>
          <w:lang w:eastAsia="sk-SK"/>
        </w:rPr>
        <w:t xml:space="preserve">ПРЕСС-РЕЛИЗ</w:t>
      </w:r>
      <w:r>
        <w:rPr>
          <w:rFonts w:ascii="Segoe UI" w:hAnsi="Segoe UI" w:cs="Segoe UI" w:eastAsiaTheme="minorEastAsia"/>
          <w:b/>
          <w:sz w:val="28"/>
          <w:szCs w:val="28"/>
          <w:lang w:eastAsia="sk-SK"/>
        </w:rPr>
      </w:r>
    </w:p>
    <w:p>
      <w:pPr>
        <w:jc w:val="center"/>
        <w:rPr>
          <w:rFonts w:ascii="Segoe UI" w:hAnsi="Segoe UI" w:cs="Segoe UI"/>
          <w:b/>
          <w:bCs/>
          <w:sz w:val="28"/>
          <w:szCs w:val="28"/>
        </w:rPr>
      </w:pPr>
      <w:r>
        <w:rPr>
          <w:rFonts w:ascii="Segoe UI" w:hAnsi="Segoe UI" w:cs="Segoe UI"/>
          <w:b/>
          <w:bCs/>
          <w:sz w:val="28"/>
          <w:szCs w:val="28"/>
        </w:rPr>
      </w:r>
      <w:r>
        <w:rPr>
          <w:rFonts w:ascii="Segoe UI" w:hAnsi="Segoe UI" w:cs="Segoe UI"/>
          <w:b/>
          <w:bCs/>
          <w:sz w:val="28"/>
          <w:szCs w:val="28"/>
        </w:rPr>
      </w:r>
    </w:p>
    <w:p>
      <w:pPr>
        <w:ind w:firstLine="567"/>
        <w:jc w:val="center"/>
        <w:rPr>
          <w:rFonts w:ascii="Segoe UI" w:hAnsi="Segoe UI" w:cs="Segoe UI"/>
          <w:b/>
          <w:bCs/>
          <w:sz w:val="28"/>
          <w:szCs w:val="28"/>
        </w:rPr>
      </w:pPr>
      <w:r>
        <w:rPr>
          <w:rFonts w:ascii="Segoe UI" w:hAnsi="Segoe UI" w:cs="Segoe UI"/>
          <w:b/>
          <w:bCs/>
          <w:sz w:val="28"/>
          <w:szCs w:val="28"/>
        </w:rPr>
        <w:t xml:space="preserve">85%</w:t>
      </w:r>
      <w:r>
        <w:rPr>
          <w:rFonts w:ascii="Segoe UI" w:hAnsi="Segoe UI" w:cs="Segoe UI"/>
          <w:b/>
          <w:bCs/>
          <w:sz w:val="28"/>
          <w:szCs w:val="28"/>
        </w:rPr>
        <w:t xml:space="preserve"> заявок на</w:t>
      </w:r>
      <w:r>
        <w:rPr>
          <w:rFonts w:ascii="Segoe UI" w:hAnsi="Segoe UI" w:cs="Segoe UI"/>
          <w:b/>
          <w:bCs/>
          <w:sz w:val="28"/>
          <w:szCs w:val="28"/>
        </w:rPr>
        <w:t xml:space="preserve"> ипотечны</w:t>
      </w:r>
      <w:r>
        <w:rPr>
          <w:rFonts w:ascii="Segoe UI" w:hAnsi="Segoe UI" w:cs="Segoe UI"/>
          <w:b/>
          <w:bCs/>
          <w:sz w:val="28"/>
          <w:szCs w:val="28"/>
        </w:rPr>
        <w:t xml:space="preserve">е</w:t>
      </w:r>
      <w:r>
        <w:rPr>
          <w:rFonts w:ascii="Segoe UI" w:hAnsi="Segoe UI" w:cs="Segoe UI"/>
          <w:b/>
          <w:bCs/>
          <w:sz w:val="28"/>
          <w:szCs w:val="28"/>
        </w:rPr>
        <w:t xml:space="preserve"> сдел</w:t>
      </w:r>
      <w:r>
        <w:rPr>
          <w:rFonts w:ascii="Segoe UI" w:hAnsi="Segoe UI" w:cs="Segoe UI"/>
          <w:b/>
          <w:bCs/>
          <w:sz w:val="28"/>
          <w:szCs w:val="28"/>
        </w:rPr>
        <w:t xml:space="preserve">ки</w:t>
      </w:r>
      <w:r>
        <w:rPr>
          <w:rFonts w:ascii="Segoe UI" w:hAnsi="Segoe UI" w:cs="Segoe UI"/>
          <w:b/>
          <w:bCs/>
          <w:sz w:val="28"/>
          <w:szCs w:val="28"/>
        </w:rPr>
        <w:t xml:space="preserve"> в </w:t>
      </w:r>
      <w:r>
        <w:rPr>
          <w:rFonts w:ascii="Segoe UI" w:hAnsi="Segoe UI" w:cs="Segoe UI"/>
          <w:b/>
          <w:bCs/>
          <w:sz w:val="28"/>
          <w:szCs w:val="28"/>
        </w:rPr>
        <w:t xml:space="preserve">Свердловской области</w:t>
      </w:r>
      <w:r>
        <w:rPr>
          <w:rFonts w:ascii="Segoe UI" w:hAnsi="Segoe UI" w:cs="Segoe UI"/>
          <w:b/>
          <w:bCs/>
          <w:sz w:val="28"/>
          <w:szCs w:val="28"/>
        </w:rPr>
        <w:t xml:space="preserve"> оформлены онлайн</w:t>
      </w:r>
      <w:r>
        <w:rPr>
          <w:rFonts w:ascii="Segoe UI" w:hAnsi="Segoe UI" w:cs="Segoe UI"/>
          <w:b/>
          <w:bCs/>
          <w:sz w:val="28"/>
          <w:szCs w:val="28"/>
        </w:rPr>
      </w:r>
    </w:p>
    <w:p>
      <w:pPr>
        <w:ind w:firstLine="567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За первое полугодие кредитные организации подали в региональное управление Росреестра 12 501 пакет документов для регистрации ипотечных сделок. Из них 10 628 (85%) были оформлены в электронном формате.</w:t>
      </w:r>
      <w:r>
        <w:rPr>
          <w:rFonts w:ascii="Segoe UI" w:hAnsi="Segoe UI" w:cs="Segoe UI"/>
        </w:rPr>
      </w:r>
    </w:p>
    <w:p>
      <w:pPr>
        <w:ind w:firstLine="567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«В Свердловской области менее чем за сутки регистрируется 97,5% электронных ипотечных сделок при взаимодействии с кредитными организациями», — отметила руководитель Управления Росреестра по Свердловской области </w:t>
      </w:r>
      <w:r>
        <w:rPr>
          <w:rFonts w:ascii="Segoe UI" w:hAnsi="Segoe UI" w:cs="Segoe UI"/>
          <w:b/>
          <w:bCs/>
        </w:rPr>
        <w:t xml:space="preserve">И.В. Семкина</w:t>
      </w:r>
      <w:r>
        <w:rPr>
          <w:rFonts w:ascii="Segoe UI" w:hAnsi="Segoe UI" w:cs="Segoe UI"/>
        </w:rPr>
        <w:t xml:space="preserve">. </w:t>
      </w:r>
      <w:r>
        <w:rPr>
          <w:rFonts w:ascii="Segoe UI" w:hAnsi="Segoe UI" w:cs="Segoe UI"/>
        </w:rPr>
      </w:r>
    </w:p>
    <w:p>
      <w:pPr>
        <w:ind w:firstLine="567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Такое количество электронных заявлений связано с рядом преимуществ, которые даёт онлайн-формат: </w:t>
      </w:r>
      <w:r>
        <w:rPr>
          <w:rFonts w:ascii="Segoe UI" w:hAnsi="Segoe UI" w:cs="Segoe UI"/>
        </w:rPr>
      </w:r>
    </w:p>
    <w:p>
      <w:pPr>
        <w:ind w:firstLine="567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- экономия времени, </w:t>
      </w:r>
      <w:r>
        <w:rPr>
          <w:rFonts w:ascii="Segoe UI" w:hAnsi="Segoe UI" w:cs="Segoe UI"/>
        </w:rPr>
      </w:r>
    </w:p>
    <w:p>
      <w:pPr>
        <w:ind w:firstLine="567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- удобство процесса, </w:t>
      </w:r>
      <w:r>
        <w:rPr>
          <w:rFonts w:ascii="Segoe UI" w:hAnsi="Segoe UI" w:cs="Segoe UI"/>
        </w:rPr>
      </w:r>
    </w:p>
    <w:p>
      <w:pPr>
        <w:ind w:firstLine="567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- возможность отслеживать статус заявки, </w:t>
      </w:r>
      <w:r>
        <w:rPr>
          <w:rFonts w:ascii="Segoe UI" w:hAnsi="Segoe UI" w:cs="Segoe UI"/>
        </w:rPr>
      </w:r>
    </w:p>
    <w:p>
      <w:pPr>
        <w:ind w:firstLine="567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-  возможность оформления недвижимости по экстерриториальному принципу. </w:t>
      </w:r>
      <w:r>
        <w:rPr>
          <w:rFonts w:ascii="Segoe UI" w:hAnsi="Segoe UI" w:cs="Segoe UI"/>
        </w:rPr>
      </w:r>
    </w:p>
    <w:p>
      <w:pPr>
        <w:ind w:firstLine="709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На данный момент средний фактический срок регистрации недвижимости в регионе не превышает двух рабочих дней.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</w:r>
    </w:p>
    <w:p>
      <w:pPr>
        <w:jc w:val="both"/>
        <w:spacing w:after="0" w:line="240" w:lineRule="auto"/>
        <w:rPr>
          <w:rFonts w:ascii="Segoe UI" w:hAnsi="Segoe UI" w:cs="Segoe UI" w:eastAsiaTheme="minorEastAsia"/>
          <w:lang w:eastAsia="ru-RU"/>
        </w:rPr>
      </w:pPr>
      <w:r>
        <w:rPr>
          <w:rFonts w:cs="Times New Roman" w:eastAsiaTheme="minorEastAsia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4294967289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67945</wp:posOffset>
                </wp:positionV>
                <wp:extent cx="6000750" cy="0"/>
                <wp:effectExtent l="0" t="0" r="19050" b="19050"/>
                <wp:wrapNone/>
                <wp:docPr id="2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32" type="#_x0000_t32" style="position:absolute;z-index:251661312;o:allowoverlap:true;o:allowincell:true;mso-position-horizontal-relative:margin;mso-position-horizontal:right;mso-position-vertical-relative:text;margin-top:5.35pt;mso-position-vertical:absolute;width:472.50pt;height:0.00pt;mso-wrap-distance-left:9.00pt;mso-wrap-distance-top:0.00pt;mso-wrap-distance-right:9.00pt;mso-wrap-distance-bottom:-169093.20pt;visibility:visible;" filled="f" strokecolor="#0070C0" strokeweight="1.25pt"/>
            </w:pict>
          </mc:Fallback>
        </mc:AlternateContent>
      </w:r>
      <w:r>
        <w:rPr>
          <w:rFonts w:ascii="Segoe UI" w:hAnsi="Segoe UI" w:cs="Segoe UI" w:eastAsiaTheme="minorEastAsia"/>
          <w:lang w:eastAsia="ru-RU"/>
        </w:rPr>
      </w:r>
    </w:p>
    <w:p>
      <w:pPr>
        <w:jc w:val="right"/>
        <w:spacing w:after="0" w:line="240" w:lineRule="auto"/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</w:pPr>
      <w:r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</w:r>
      <w:r>
        <w:rPr>
          <w:rFonts w:ascii="Segoe UI" w:hAnsi="Segoe UI" w:cs="Segoe UI" w:eastAsiaTheme="minorEastAsia"/>
          <w:b/>
          <w:bCs/>
          <w:sz w:val="24"/>
          <w:szCs w:val="24"/>
          <w:lang w:eastAsia="ru-RU"/>
        </w:rPr>
        <w:t xml:space="preserve">Талицкий отдел Управления Росреестра по Свердловской области</w:t>
      </w:r>
      <w:r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</w:r>
      <w:r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</w:r>
    </w:p>
    <w:p>
      <w:pPr>
        <w:jc w:val="both"/>
        <w:spacing w:after="0" w:line="240" w:lineRule="auto"/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</w:pPr>
      <w:r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</w:r>
    </w:p>
    <w:p>
      <w:pPr>
        <w:ind w:firstLine="567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29"/>
    <w:link w:val="620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29"/>
    <w:link w:val="621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29"/>
    <w:link w:val="622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29"/>
    <w:link w:val="623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29"/>
    <w:link w:val="624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29"/>
    <w:link w:val="625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29"/>
    <w:link w:val="62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29"/>
    <w:link w:val="627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29"/>
    <w:link w:val="6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29"/>
    <w:link w:val="641"/>
    <w:uiPriority w:val="10"/>
    <w:rPr>
      <w:sz w:val="48"/>
      <w:szCs w:val="48"/>
    </w:rPr>
  </w:style>
  <w:style w:type="character" w:styleId="37">
    <w:name w:val="Subtitle Char"/>
    <w:basedOn w:val="629"/>
    <w:link w:val="643"/>
    <w:uiPriority w:val="11"/>
    <w:rPr>
      <w:sz w:val="24"/>
      <w:szCs w:val="24"/>
    </w:rPr>
  </w:style>
  <w:style w:type="character" w:styleId="39">
    <w:name w:val="Quote Char"/>
    <w:link w:val="645"/>
    <w:uiPriority w:val="29"/>
    <w:rPr>
      <w:i/>
    </w:rPr>
  </w:style>
  <w:style w:type="character" w:styleId="41">
    <w:name w:val="Intense Quote Char"/>
    <w:link w:val="649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9"/>
    <w:link w:val="42"/>
    <w:uiPriority w:val="99"/>
  </w:style>
  <w:style w:type="paragraph" w:styleId="44">
    <w:name w:val="Footer"/>
    <w:basedOn w:val="61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9"/>
    <w:link w:val="44"/>
    <w:uiPriority w:val="99"/>
  </w:style>
  <w:style w:type="paragraph" w:styleId="46">
    <w:name w:val="Caption"/>
    <w:basedOn w:val="619"/>
    <w:next w:val="6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3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9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9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</w:style>
  <w:style w:type="paragraph" w:styleId="620">
    <w:name w:val="Heading 1"/>
    <w:basedOn w:val="619"/>
    <w:next w:val="619"/>
    <w:link w:val="632"/>
    <w:uiPriority w:val="9"/>
    <w:qFormat/>
    <w:pPr>
      <w:keepLines/>
      <w:keepNext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621">
    <w:name w:val="Heading 2"/>
    <w:basedOn w:val="619"/>
    <w:next w:val="619"/>
    <w:link w:val="633"/>
    <w:uiPriority w:val="9"/>
    <w:semiHidden/>
    <w:unhideWhenUsed/>
    <w:qFormat/>
    <w:pPr>
      <w:keepLines/>
      <w:keepNext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622">
    <w:name w:val="Heading 3"/>
    <w:basedOn w:val="619"/>
    <w:next w:val="619"/>
    <w:link w:val="634"/>
    <w:uiPriority w:val="9"/>
    <w:semiHidden/>
    <w:unhideWhenUsed/>
    <w:qFormat/>
    <w:pPr>
      <w:keepLines/>
      <w:keepNext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623">
    <w:name w:val="Heading 4"/>
    <w:basedOn w:val="619"/>
    <w:next w:val="619"/>
    <w:link w:val="635"/>
    <w:uiPriority w:val="9"/>
    <w:semiHidden/>
    <w:unhideWhenUsed/>
    <w:qFormat/>
    <w:pPr>
      <w:keepLines/>
      <w:keepNext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624">
    <w:name w:val="Heading 5"/>
    <w:basedOn w:val="619"/>
    <w:next w:val="619"/>
    <w:link w:val="636"/>
    <w:uiPriority w:val="9"/>
    <w:semiHidden/>
    <w:unhideWhenUsed/>
    <w:qFormat/>
    <w:pPr>
      <w:keepLines/>
      <w:keepNext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25">
    <w:name w:val="Heading 6"/>
    <w:basedOn w:val="619"/>
    <w:next w:val="619"/>
    <w:link w:val="637"/>
    <w:uiPriority w:val="9"/>
    <w:semiHidden/>
    <w:unhideWhenUsed/>
    <w:qFormat/>
    <w:pPr>
      <w:keepLines/>
      <w:keepNext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626">
    <w:name w:val="Heading 7"/>
    <w:basedOn w:val="619"/>
    <w:next w:val="619"/>
    <w:link w:val="638"/>
    <w:uiPriority w:val="9"/>
    <w:semiHidden/>
    <w:unhideWhenUsed/>
    <w:qFormat/>
    <w:pPr>
      <w:keepLines/>
      <w:keepNext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627">
    <w:name w:val="Heading 8"/>
    <w:basedOn w:val="619"/>
    <w:next w:val="619"/>
    <w:link w:val="639"/>
    <w:uiPriority w:val="9"/>
    <w:semiHidden/>
    <w:unhideWhenUsed/>
    <w:qFormat/>
    <w:pPr>
      <w:keepLines/>
      <w:keepNext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628">
    <w:name w:val="Heading 9"/>
    <w:basedOn w:val="619"/>
    <w:next w:val="619"/>
    <w:link w:val="640"/>
    <w:uiPriority w:val="9"/>
    <w:semiHidden/>
    <w:unhideWhenUsed/>
    <w:qFormat/>
    <w:pPr>
      <w:keepLines/>
      <w:keepNext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629" w:default="1">
    <w:name w:val="Default Paragraph Font"/>
    <w:uiPriority w:val="1"/>
    <w:unhideWhenUsed/>
  </w:style>
  <w:style w:type="table" w:styleId="63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1" w:default="1">
    <w:name w:val="No List"/>
    <w:uiPriority w:val="99"/>
    <w:semiHidden/>
    <w:unhideWhenUsed/>
  </w:style>
  <w:style w:type="character" w:styleId="632" w:customStyle="1">
    <w:name w:val="Заголовок 1 Знак"/>
    <w:basedOn w:val="629"/>
    <w:link w:val="620"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633" w:customStyle="1">
    <w:name w:val="Заголовок 2 Знак"/>
    <w:basedOn w:val="629"/>
    <w:link w:val="621"/>
    <w:uiPriority w:val="9"/>
    <w:semiHidden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634" w:customStyle="1">
    <w:name w:val="Заголовок 3 Знак"/>
    <w:basedOn w:val="629"/>
    <w:link w:val="622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styleId="635" w:customStyle="1">
    <w:name w:val="Заголовок 4 Знак"/>
    <w:basedOn w:val="629"/>
    <w:link w:val="623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styleId="636" w:customStyle="1">
    <w:name w:val="Заголовок 5 Знак"/>
    <w:basedOn w:val="629"/>
    <w:link w:val="624"/>
    <w:uiPriority w:val="9"/>
    <w:semiHidden/>
    <w:rPr>
      <w:rFonts w:eastAsiaTheme="majorEastAsia" w:cstheme="majorBidi"/>
      <w:color w:val="2f5496" w:themeColor="accent1" w:themeShade="BF"/>
    </w:rPr>
  </w:style>
  <w:style w:type="character" w:styleId="637" w:customStyle="1">
    <w:name w:val="Заголовок 6 Знак"/>
    <w:basedOn w:val="629"/>
    <w:link w:val="625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638" w:customStyle="1">
    <w:name w:val="Заголовок 7 Знак"/>
    <w:basedOn w:val="629"/>
    <w:link w:val="626"/>
    <w:uiPriority w:val="9"/>
    <w:semiHidden/>
    <w:rPr>
      <w:rFonts w:eastAsiaTheme="majorEastAsia" w:cstheme="majorBidi"/>
      <w:color w:val="595959" w:themeColor="text1" w:themeTint="A6"/>
    </w:rPr>
  </w:style>
  <w:style w:type="character" w:styleId="639" w:customStyle="1">
    <w:name w:val="Заголовок 8 Знак"/>
    <w:basedOn w:val="629"/>
    <w:link w:val="627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640" w:customStyle="1">
    <w:name w:val="Заголовок 9 Знак"/>
    <w:basedOn w:val="629"/>
    <w:link w:val="628"/>
    <w:uiPriority w:val="9"/>
    <w:semiHidden/>
    <w:rPr>
      <w:rFonts w:eastAsiaTheme="majorEastAsia" w:cstheme="majorBidi"/>
      <w:color w:val="272727" w:themeColor="text1" w:themeTint="D8"/>
    </w:rPr>
  </w:style>
  <w:style w:type="paragraph" w:styleId="641">
    <w:name w:val="Title"/>
    <w:basedOn w:val="619"/>
    <w:next w:val="619"/>
    <w:link w:val="642"/>
    <w:uiPriority w:val="10"/>
    <w:qFormat/>
    <w:pPr>
      <w:contextualSpacing/>
      <w:spacing w:after="8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642" w:customStyle="1">
    <w:name w:val="Заголовок Знак"/>
    <w:basedOn w:val="629"/>
    <w:link w:val="641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643">
    <w:name w:val="Subtitle"/>
    <w:basedOn w:val="619"/>
    <w:next w:val="619"/>
    <w:link w:val="644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644" w:customStyle="1">
    <w:name w:val="Подзаголовок Знак"/>
    <w:basedOn w:val="629"/>
    <w:link w:val="643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645">
    <w:name w:val="Quote"/>
    <w:basedOn w:val="619"/>
    <w:next w:val="619"/>
    <w:link w:val="646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646" w:customStyle="1">
    <w:name w:val="Цитата 2 Знак"/>
    <w:basedOn w:val="629"/>
    <w:link w:val="645"/>
    <w:uiPriority w:val="29"/>
    <w:rPr>
      <w:i/>
      <w:iCs/>
      <w:color w:val="404040" w:themeColor="text1" w:themeTint="BF"/>
    </w:rPr>
  </w:style>
  <w:style w:type="paragraph" w:styleId="647">
    <w:name w:val="List Paragraph"/>
    <w:basedOn w:val="619"/>
    <w:uiPriority w:val="34"/>
    <w:qFormat/>
    <w:pPr>
      <w:contextualSpacing/>
      <w:ind w:left="720"/>
    </w:pPr>
  </w:style>
  <w:style w:type="character" w:styleId="648">
    <w:name w:val="Intense Emphasis"/>
    <w:basedOn w:val="629"/>
    <w:uiPriority w:val="21"/>
    <w:qFormat/>
    <w:rPr>
      <w:i/>
      <w:iCs/>
      <w:color w:val="2f5496" w:themeColor="accent1" w:themeShade="BF"/>
    </w:rPr>
  </w:style>
  <w:style w:type="paragraph" w:styleId="649">
    <w:name w:val="Intense Quote"/>
    <w:basedOn w:val="619"/>
    <w:next w:val="619"/>
    <w:link w:val="650"/>
    <w:uiPriority w:val="30"/>
    <w:qFormat/>
    <w:pPr>
      <w:ind w:left="864" w:right="864"/>
      <w:jc w:val="center"/>
      <w:spacing w:before="360" w:after="360"/>
      <w:pBdr>
        <w:top w:val="single" w:color="2F5496" w:themeColor="accent1" w:themeShade="BF" w:sz="4" w:space="10"/>
        <w:bottom w:val="single" w:color="2F5496" w:themeColor="accent1" w:themeShade="BF" w:sz="4" w:space="10"/>
      </w:pBdr>
    </w:pPr>
    <w:rPr>
      <w:i/>
      <w:iCs/>
      <w:color w:val="2f5496" w:themeColor="accent1" w:themeShade="BF"/>
    </w:rPr>
  </w:style>
  <w:style w:type="character" w:styleId="650" w:customStyle="1">
    <w:name w:val="Выделенная цитата Знак"/>
    <w:basedOn w:val="629"/>
    <w:link w:val="649"/>
    <w:uiPriority w:val="30"/>
    <w:rPr>
      <w:i/>
      <w:iCs/>
      <w:color w:val="2f5496" w:themeColor="accent1" w:themeShade="BF"/>
    </w:rPr>
  </w:style>
  <w:style w:type="character" w:styleId="651">
    <w:name w:val="Intense Reference"/>
    <w:basedOn w:val="629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652">
    <w:name w:val="Hyperlink"/>
    <w:basedOn w:val="629"/>
    <w:uiPriority w:val="99"/>
    <w:unhideWhenUsed/>
    <w:rPr>
      <w:color w:val="0563c1" w:themeColor="hyperlink"/>
      <w:u w:val="single"/>
    </w:rPr>
  </w:style>
  <w:style w:type="character" w:styleId="653">
    <w:name w:val="Unresolved Mention"/>
    <w:basedOn w:val="629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Погорельская Анна Константиновна</dc:creator>
  <cp:keywords/>
  <dc:description/>
  <cp:revision>7</cp:revision>
  <dcterms:created xsi:type="dcterms:W3CDTF">2025-07-17T12:11:00Z</dcterms:created>
  <dcterms:modified xsi:type="dcterms:W3CDTF">2025-07-22T04:58:42Z</dcterms:modified>
</cp:coreProperties>
</file>