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pStyle w:val="666"/>
        <w:ind w:firstLine="567"/>
        <w:jc w:val="center"/>
        <w:spacing w:after="120"/>
        <w:rPr>
          <w:rFonts w:ascii="Segoe UI" w:hAnsi="Segoe UI" w:cs="Segoe UI" w:eastAsiaTheme="minorHAnsi"/>
          <w:sz w:val="28"/>
          <w:szCs w:val="28"/>
          <w:lang w:eastAsia="en-US"/>
          <w14:ligatures w14:val="standardContextual"/>
        </w:rPr>
      </w:pPr>
      <w:r>
        <w:rPr>
          <w:rFonts w:ascii="Segoe UI" w:hAnsi="Segoe UI" w:cs="Segoe UI" w:eastAsiaTheme="minorHAnsi"/>
          <w:sz w:val="28"/>
          <w:szCs w:val="28"/>
          <w:lang w:eastAsia="en-US"/>
          <w14:ligatures w14:val="standardContextual"/>
        </w:rPr>
      </w:r>
      <w:r>
        <w:rPr>
          <w:rFonts w:ascii="Segoe UI" w:hAnsi="Segoe UI" w:cs="Segoe UI" w:eastAsiaTheme="minorHAnsi"/>
          <w:sz w:val="28"/>
          <w:szCs w:val="28"/>
          <w:lang w:eastAsia="en-US"/>
          <w14:ligatures w14:val="standardContextual"/>
        </w:rPr>
      </w:r>
    </w:p>
    <w:p>
      <w:pPr>
        <w:pStyle w:val="666"/>
        <w:ind w:firstLine="567"/>
        <w:jc w:val="center"/>
        <w:spacing w:after="120"/>
        <w:rPr>
          <w:rFonts w:ascii="Segoe UI" w:hAnsi="Segoe UI" w:cs="Segoe UI" w:eastAsiaTheme="minorHAnsi"/>
          <w:sz w:val="28"/>
          <w:szCs w:val="28"/>
          <w:lang w:eastAsia="en-US"/>
          <w14:ligatures w14:val="standardContextual"/>
        </w:rPr>
      </w:pPr>
      <w:r>
        <w:rPr>
          <w:rFonts w:ascii="Segoe UI" w:hAnsi="Segoe UI" w:cs="Segoe UI" w:eastAsiaTheme="minorHAnsi"/>
          <w:sz w:val="28"/>
          <w:szCs w:val="28"/>
          <w:lang w:eastAsia="en-US"/>
          <w14:ligatures w14:val="standardContextual"/>
        </w:rPr>
        <w:t xml:space="preserve">Свердловский Росреестр разъясняет: к</w:t>
      </w:r>
      <w:r>
        <w:rPr>
          <w:rFonts w:ascii="Segoe UI" w:hAnsi="Segoe UI" w:cs="Segoe UI" w:eastAsiaTheme="minorHAnsi"/>
          <w:sz w:val="28"/>
          <w:szCs w:val="28"/>
          <w:lang w:eastAsia="en-US"/>
          <w14:ligatures w14:val="standardContextual"/>
        </w:rPr>
        <w:t xml:space="preserve">ак изменить вид разрешенного использования земельного участка</w:t>
      </w:r>
      <w:r>
        <w:rPr>
          <w:rFonts w:ascii="Segoe UI" w:hAnsi="Segoe UI" w:cs="Segoe UI" w:eastAsiaTheme="minorHAnsi"/>
          <w:sz w:val="28"/>
          <w:szCs w:val="28"/>
          <w:lang w:eastAsia="en-US"/>
          <w14:ligatures w14:val="standardContextual"/>
        </w:rPr>
      </w:r>
    </w:p>
    <w:p>
      <w:pPr>
        <w:pStyle w:val="666"/>
        <w:ind w:firstLine="567"/>
        <w:jc w:val="both"/>
        <w:spacing w:after="12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Что значит вид разрешенного использования?</w:t>
      </w:r>
      <w:r>
        <w:rPr>
          <w:rFonts w:ascii="Segoe UI" w:hAnsi="Segoe UI" w:cs="Segoe UI"/>
          <w:b/>
        </w:rPr>
      </w:r>
    </w:p>
    <w:p>
      <w:pPr>
        <w:pStyle w:val="666"/>
        <w:ind w:firstLine="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Это характеристика, позволяющая установить его назначение: как использовать земельный участок и что на нем можно построить.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Какие бывают ВРИ участка и как они устанавливаются?</w:t>
      </w:r>
      <w:r>
        <w:rPr>
          <w:rFonts w:ascii="Segoe UI" w:hAnsi="Segoe UI" w:cs="Segoe UI"/>
          <w:b/>
          <w:bCs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Перечень видов разрешенного использования приводится в </w:t>
      </w:r>
      <w:hyperlink r:id="rId10" w:tooltip="https://base.garant.ru/75062082/53f89421bbdaf741eb2d1ecc4ddb4c33/#block_1000" w:anchor="block_1000" w:history="1">
        <w:r>
          <w:rPr>
            <w:rStyle w:val="664"/>
            <w:rFonts w:ascii="Segoe UI" w:hAnsi="Segoe UI" w:cs="Segoe UI"/>
          </w:rPr>
          <w:t xml:space="preserve">Классификаторе</w:t>
        </w:r>
      </w:hyperlink>
      <w:r>
        <w:rPr>
          <w:rFonts w:ascii="Segoe UI" w:hAnsi="Segoe UI" w:cs="Segoe UI"/>
        </w:rPr>
        <w:t xml:space="preserve">, утвержденном Росреестром, который содержит как наименования видов разрешенного использования, так и описания их содержания.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 основании Классификатора муниципалитеты </w:t>
      </w:r>
      <w:hyperlink r:id="rId11" w:tooltip="http://www.consultant.ru/document/cons_doc_LAW_51040/39dc72c976ad75cbd1bbdc145ebfc7388c21062e/" w:history="1">
        <w:r>
          <w:rPr>
            <w:rStyle w:val="664"/>
            <w:rFonts w:ascii="Segoe UI" w:hAnsi="Segoe UI" w:cs="Segoe UI"/>
          </w:rPr>
          <w:t xml:space="preserve">устанавливают</w:t>
        </w:r>
      </w:hyperlink>
      <w:r>
        <w:rPr>
          <w:rFonts w:ascii="Segoe UI" w:hAnsi="Segoe UI" w:cs="Segoe UI"/>
        </w:rPr>
        <w:t xml:space="preserve"> в градостроительном регламенте ВРИ для каждой территориальной зоны:</w:t>
      </w:r>
      <w:r>
        <w:rPr>
          <w:rFonts w:ascii="Segoe UI" w:hAnsi="Segoe UI" w:cs="Segoe UI"/>
        </w:rPr>
      </w:r>
    </w:p>
    <w:p>
      <w:pPr>
        <w:numPr>
          <w:ilvl w:val="0"/>
          <w:numId w:val="1"/>
        </w:numPr>
        <w:ind w:left="0" w:firstLine="567"/>
        <w:tabs>
          <w:tab w:val="num" w:pos="709" w:leader="none"/>
          <w:tab w:val="clear" w:pos="720" w:leader="none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основные (характеризуют </w:t>
      </w:r>
      <w:r>
        <w:rPr>
          <w:rFonts w:ascii="Segoe UI" w:hAnsi="Segoe UI" w:cs="Segoe UI"/>
        </w:rPr>
        <w:t xml:space="preserve">основную деятельность, </w:t>
      </w:r>
      <w:r>
        <w:rPr>
          <w:rFonts w:ascii="Segoe UI" w:hAnsi="Segoe UI" w:cs="Segoe UI"/>
        </w:rPr>
        <w:t xml:space="preserve">для ведения которой используется земельный участок</w:t>
      </w:r>
      <w:r>
        <w:rPr>
          <w:rFonts w:ascii="Segoe UI" w:hAnsi="Segoe UI" w:cs="Segoe UI"/>
          <w:b/>
          <w:bCs/>
        </w:rPr>
        <w:t xml:space="preserve">)</w:t>
      </w:r>
      <w:r>
        <w:rPr>
          <w:rFonts w:ascii="Segoe UI" w:hAnsi="Segoe UI" w:cs="Segoe UI"/>
        </w:rPr>
        <w:t xml:space="preserve">;</w:t>
      </w:r>
      <w:r>
        <w:rPr>
          <w:rFonts w:ascii="Segoe UI" w:hAnsi="Segoe UI" w:cs="Segoe UI"/>
        </w:rPr>
      </w:r>
    </w:p>
    <w:p>
      <w:pPr>
        <w:numPr>
          <w:ilvl w:val="0"/>
          <w:numId w:val="1"/>
        </w:numPr>
        <w:ind w:left="0" w:firstLine="567"/>
        <w:tabs>
          <w:tab w:val="num" w:pos="709" w:leader="none"/>
          <w:tab w:val="clear" w:pos="720" w:leader="none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условно разрешенные (применяются только при условии получения разрешения от органов местного самоуправления);</w:t>
      </w:r>
      <w:r>
        <w:rPr>
          <w:rFonts w:ascii="Segoe UI" w:hAnsi="Segoe UI" w:cs="Segoe UI"/>
        </w:rPr>
      </w:r>
    </w:p>
    <w:p>
      <w:pPr>
        <w:numPr>
          <w:ilvl w:val="0"/>
          <w:numId w:val="1"/>
        </w:numPr>
        <w:ind w:left="0" w:firstLine="567"/>
        <w:tabs>
          <w:tab w:val="num" w:pos="709" w:leader="none"/>
          <w:tab w:val="clear" w:pos="720" w:leader="none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вспомогательные (допустимы в качестве дополнительных к основным и условно разрешенным видам использования земельных участков и применяются только совместно с ними).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Как узнать текущий ВРИ земельного участка?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Уточнить вид разрешенного использования земельного участка можно несколькими способами:</w:t>
      </w:r>
      <w:r>
        <w:rPr>
          <w:rFonts w:ascii="Segoe UI" w:hAnsi="Segoe UI" w:cs="Segoe UI"/>
        </w:rPr>
      </w:r>
    </w:p>
    <w:p>
      <w:pPr>
        <w:numPr>
          <w:ilvl w:val="0"/>
          <w:numId w:val="2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Заказать выписку из Единого государственного реестра недвижимости (ЕГРН). Это можно сделать с помощью электронных </w:t>
      </w:r>
      <w:hyperlink r:id="rId12" w:tooltip="https://rosreestr.gov.ru/eservices/request_info_from_egrn/" w:history="1">
        <w:r>
          <w:rPr>
            <w:rStyle w:val="664"/>
            <w:rFonts w:ascii="Segoe UI" w:hAnsi="Segoe UI" w:cs="Segoe UI"/>
          </w:rPr>
          <w:t xml:space="preserve">сервисов</w:t>
        </w:r>
      </w:hyperlink>
      <w:r>
        <w:rPr>
          <w:rFonts w:ascii="Segoe UI" w:hAnsi="Segoe UI" w:cs="Segoe UI"/>
        </w:rPr>
        <w:t xml:space="preserve"> на сайте Росреестра, в офисах МФЦ, на </w:t>
      </w:r>
      <w:hyperlink r:id="rId13" w:tooltip="https://www.gosuslugi.ru/600978/1/form" w:history="1">
        <w:r>
          <w:rPr>
            <w:rStyle w:val="664"/>
            <w:rFonts w:ascii="Segoe UI" w:hAnsi="Segoe UI" w:cs="Segoe UI"/>
          </w:rPr>
          <w:t xml:space="preserve">портале «Госуслуг</w:t>
        </w:r>
      </w:hyperlink>
      <w:r>
        <w:rPr>
          <w:rFonts w:ascii="Segoe UI" w:hAnsi="Segoe UI" w:cs="Segoe UI"/>
        </w:rPr>
        <w:t xml:space="preserve">», а также на </w:t>
      </w:r>
      <w:hyperlink r:id="rId14" w:tooltip="https://kadastr.ru/services/zakaz-vypisok-iz-egrn3442/" w:history="1">
        <w:r>
          <w:rPr>
            <w:rStyle w:val="664"/>
            <w:rFonts w:ascii="Segoe UI" w:hAnsi="Segoe UI" w:cs="Segoe UI"/>
          </w:rPr>
          <w:t xml:space="preserve">сайте</w:t>
        </w:r>
      </w:hyperlink>
      <w:r>
        <w:rPr>
          <w:rFonts w:ascii="Segoe UI" w:hAnsi="Segoe UI" w:cs="Segoe UI"/>
        </w:rPr>
        <w:t xml:space="preserve"> </w:t>
      </w:r>
      <w:r>
        <w:rPr>
          <w:rFonts w:ascii="Segoe UI" w:hAnsi="Segoe UI" w:cs="Segoe UI"/>
        </w:rPr>
        <w:t xml:space="preserve">публично-правовой компании Роскадастр</w:t>
      </w:r>
      <w:r>
        <w:rPr>
          <w:rFonts w:ascii="Segoe UI" w:hAnsi="Segoe UI" w:cs="Segoe UI"/>
        </w:rPr>
      </w:r>
    </w:p>
    <w:p>
      <w:pPr>
        <w:numPr>
          <w:ilvl w:val="0"/>
          <w:numId w:val="2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Воспользоваться онлайн-сервисом</w:t>
      </w:r>
      <w:r>
        <w:rPr>
          <w:rFonts w:ascii="Segoe UI" w:hAnsi="Segoe UI" w:cs="Segoe UI"/>
        </w:rPr>
        <w:t xml:space="preserve"> Национальной системы пространственных данных</w:t>
      </w:r>
      <w:r>
        <w:rPr>
          <w:rFonts w:ascii="Segoe UI" w:hAnsi="Segoe UI" w:cs="Segoe UI"/>
        </w:rPr>
        <w:t xml:space="preserve"> </w:t>
      </w:r>
      <w:hyperlink r:id="rId15" w:tooltip="https://nspd.gov.ru/map?thematic=PKK&amp;baseLayerId=235&amp;zoom=4.32&amp;coordinate_x=9040617.332112517&amp;coordinate_y=8465542.576072736&amp;theme_id=1&amp;is_copy_url=true" w:history="1">
        <w:r>
          <w:rPr>
            <w:rStyle w:val="664"/>
            <w:rFonts w:ascii="Segoe UI" w:hAnsi="Segoe UI" w:cs="Segoe UI"/>
          </w:rPr>
          <w:t xml:space="preserve">«Публичная кадастровая карта»</w:t>
        </w:r>
      </w:hyperlink>
      <w:r>
        <w:rPr>
          <w:rFonts w:ascii="Segoe UI" w:hAnsi="Segoe UI" w:cs="Segoe UI"/>
        </w:rPr>
        <w:t xml:space="preserve">. Для этого потребуется ввести в поисковую строку адрес участка или его кадастровый номер.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Зачем менять/устанавливать ВРИ земельного участка?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Использование земельного участка не в соответствии с установленным ВРИ может являться основанием для наложения административного штрафа.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Вид разрешенного использования земельного участка необходимо изменить/установить в следующих случаях:</w:t>
      </w:r>
      <w:r>
        <w:rPr>
          <w:rFonts w:ascii="Segoe UI" w:hAnsi="Segoe UI" w:cs="Segoe UI"/>
        </w:rPr>
      </w:r>
    </w:p>
    <w:p>
      <w:pPr>
        <w:numPr>
          <w:ilvl w:val="0"/>
          <w:numId w:val="3"/>
        </w:numPr>
        <w:ind w:left="0" w:firstLine="567"/>
        <w:tabs>
          <w:tab w:val="num" w:pos="720" w:leader="none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если вы планируете вести на участке деятельность, не предусмотренную текущим ВРИ;</w:t>
      </w:r>
      <w:r>
        <w:rPr>
          <w:rFonts w:ascii="Segoe UI" w:hAnsi="Segoe UI" w:cs="Segoe UI"/>
        </w:rPr>
      </w:r>
    </w:p>
    <w:p>
      <w:pPr>
        <w:numPr>
          <w:ilvl w:val="0"/>
          <w:numId w:val="3"/>
        </w:numPr>
        <w:ind w:left="0" w:firstLine="567"/>
        <w:tabs>
          <w:tab w:val="num" w:pos="720" w:leader="none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если ВРИ земельного участка не установлен.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</w:t>
      </w:r>
      <w:r>
        <w:rPr>
          <w:rFonts w:ascii="Segoe UI" w:hAnsi="Segoe UI" w:cs="Segoe UI"/>
        </w:rPr>
        <w:t xml:space="preserve">сновной или условно разрешенный ВРИ считается выбранным в отношении такого земельного участка со дня внесения сведений о соответствующем виде разрешенного использования в ЕГРН. Внесение в ЕГРН сведений о вспомогательных ВРИ земельного участка не требуется.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Как поменять основной ВРИ земельного участка: порядок действий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</w:t>
      </w:r>
      <w:r>
        <w:rPr>
          <w:rFonts w:ascii="Segoe UI" w:hAnsi="Segoe UI" w:cs="Segoe UI"/>
        </w:rPr>
        <w:t xml:space="preserve">изменения вида разрешенного использования земельного участка нужно руководствоваться правилами землепользования и застройки (ПЗЗ). Эти правила оформляются в виде документа, который содержит градостроительные регламенты и карты территориального зонирования.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начала необходимо уточнить, приняты ли ПЗЗ уполномоченным органом в вашем населенном пункте.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Если градостроительный регламент установлен для территории, на которой расположен</w:t>
      </w:r>
      <w:r>
        <w:rPr>
          <w:rFonts w:ascii="Segoe UI" w:hAnsi="Segoe UI" w:cs="Segoe UI"/>
        </w:rPr>
        <w:t xml:space="preserve"> Ваш земельный участок и содержит необходимый ВРИ, то следует подать в орган регистрации прав заявление об изменении ВРИ земельного участка, указав в заявлении ВРИ из тех видов, которые установлены градостроительным регламентом, утвержденным в составе ПЗЗ.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соответствии с законодательством при наличии утвержденного градостроительного регламента правообладатель </w:t>
      </w:r>
      <w:r>
        <w:rPr>
          <w:rFonts w:ascii="Segoe UI" w:hAnsi="Segoe UI" w:cs="Segoe UI"/>
        </w:rPr>
        <w:t xml:space="preserve">земельного участка, за исключением случаев, предусмотренных законом, вправе самостоятельно без дополнительных разрешений и согласований выбрать вид разрешенного использования земельного участка из числа видов, предусмотренных градостроительным регламентом.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При этом необходимо учитывать, что действие градостроительного регламента не распространяется на земельные участки:</w:t>
      </w:r>
      <w:r>
        <w:rPr>
          <w:rFonts w:ascii="Segoe UI" w:hAnsi="Segoe UI" w:cs="Segoe UI"/>
        </w:rPr>
      </w:r>
    </w:p>
    <w:p>
      <w:pPr>
        <w:numPr>
          <w:ilvl w:val="0"/>
          <w:numId w:val="4"/>
        </w:numPr>
        <w:ind w:left="0" w:firstLine="567"/>
        <w:tabs>
          <w:tab w:val="clear" w:pos="720" w:leader="none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границах территорий объектов культурного наследия;</w:t>
      </w:r>
      <w:r>
        <w:rPr>
          <w:rFonts w:ascii="Segoe UI" w:hAnsi="Segoe UI" w:cs="Segoe UI"/>
        </w:rPr>
      </w:r>
    </w:p>
    <w:p>
      <w:pPr>
        <w:numPr>
          <w:ilvl w:val="0"/>
          <w:numId w:val="4"/>
        </w:numPr>
        <w:ind w:left="0" w:firstLine="567"/>
        <w:tabs>
          <w:tab w:val="clear" w:pos="720" w:leader="none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границах территорий общего пользования;</w:t>
      </w:r>
      <w:r>
        <w:rPr>
          <w:rFonts w:ascii="Segoe UI" w:hAnsi="Segoe UI" w:cs="Segoe UI"/>
        </w:rPr>
      </w:r>
    </w:p>
    <w:p>
      <w:pPr>
        <w:numPr>
          <w:ilvl w:val="0"/>
          <w:numId w:val="4"/>
        </w:numPr>
        <w:ind w:left="0" w:firstLine="567"/>
        <w:tabs>
          <w:tab w:val="clear" w:pos="720" w:leader="none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предназначенные для размещения линейных объектов и (или) занятые линейными объектами;</w:t>
      </w:r>
      <w:r>
        <w:rPr>
          <w:rFonts w:ascii="Segoe UI" w:hAnsi="Segoe UI" w:cs="Segoe UI"/>
        </w:rPr>
      </w:r>
    </w:p>
    <w:p>
      <w:pPr>
        <w:numPr>
          <w:ilvl w:val="0"/>
          <w:numId w:val="4"/>
        </w:numPr>
        <w:ind w:left="0" w:firstLine="567"/>
        <w:tabs>
          <w:tab w:val="clear" w:pos="720" w:leader="none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предоставленные для добычи полезных ископаемых.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Кроме того,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</w:t>
      </w:r>
      <w:r>
        <w:rPr>
          <w:rFonts w:ascii="Segoe UI" w:hAnsi="Segoe UI" w:cs="Segoe UI"/>
        </w:rPr>
        <w:t xml:space="preserve">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указанных случаев порядок изменения ВРИ должен быть установлен федеральным законом.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Какие документы потребуются для изменения в ЕГРН основного и вспомогательного ВРИ земельного участка?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получения услуги необходимо предоставить следующие документы:</w:t>
      </w:r>
      <w:r>
        <w:rPr>
          <w:rFonts w:ascii="Segoe UI" w:hAnsi="Segoe UI" w:cs="Segoe UI"/>
        </w:rPr>
      </w:r>
    </w:p>
    <w:p>
      <w:pPr>
        <w:numPr>
          <w:ilvl w:val="0"/>
          <w:numId w:val="5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заявление о государственном кадастровом учете без одновременной регистрации прав, в котором указывается выбранный вид разрешенного использования;</w:t>
      </w:r>
      <w:r>
        <w:rPr>
          <w:rFonts w:ascii="Segoe UI" w:hAnsi="Segoe UI" w:cs="Segoe UI"/>
        </w:rPr>
      </w:r>
    </w:p>
    <w:p>
      <w:pPr>
        <w:numPr>
          <w:ilvl w:val="0"/>
          <w:numId w:val="5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документ, удостоверяющий личность заявителя или представителя заявителя;</w:t>
      </w:r>
      <w:r>
        <w:rPr>
          <w:rFonts w:ascii="Segoe UI" w:hAnsi="Segoe UI" w:cs="Segoe UI"/>
        </w:rPr>
      </w:r>
    </w:p>
    <w:p>
      <w:pPr>
        <w:numPr>
          <w:ilvl w:val="0"/>
          <w:numId w:val="5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документ, удостоверяющий права (полномочия) представителя заявителя (в случае, если от вашего имени действует представитель).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Куда подать документы для изменения ВРИ земельного участка?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Заявление в орган регистрации прав можно предоставить следующими способами:</w:t>
      </w:r>
      <w:r>
        <w:rPr>
          <w:rFonts w:ascii="Segoe UI" w:hAnsi="Segoe UI" w:cs="Segoe UI"/>
        </w:rPr>
      </w:r>
    </w:p>
    <w:p>
      <w:pPr>
        <w:numPr>
          <w:ilvl w:val="0"/>
          <w:numId w:val="6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бумажном виде при личном визите в МФЦ;</w:t>
      </w:r>
      <w:r>
        <w:rPr>
          <w:rFonts w:ascii="Segoe UI" w:hAnsi="Segoe UI" w:cs="Segoe UI"/>
        </w:rPr>
      </w:r>
    </w:p>
    <w:p>
      <w:pPr>
        <w:numPr>
          <w:ilvl w:val="0"/>
          <w:numId w:val="6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электронном виде через личный кабинет на официальном сайте Росреестра или на портале Госуслуг;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Как установить условно разрешенный ВРИ земельного участка?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Чтобы установить условно разрешенный вид использования, требуется получить разрешение. Для этого правообладателю необходимо направить заявление в комиссию по подготовке проекта ПЗЗ. Затем будут проведены </w:t>
      </w:r>
      <w:r>
        <w:rPr>
          <w:rFonts w:ascii="Segoe UI" w:hAnsi="Segoe UI" w:cs="Segoe UI"/>
        </w:rPr>
        <w:t xml:space="preserve">общественные обсуждения или публичные слушания, по результатам которых будет принято решение – выдать разрешение либо отказать.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В каких случаях нельзя изменить ВРИ участка?</w:t>
      </w:r>
      <w:r>
        <w:rPr>
          <w:rFonts w:ascii="Segoe UI" w:hAnsi="Segoe UI" w:cs="Segoe UI"/>
        </w:rPr>
      </w:r>
    </w:p>
    <w:p>
      <w:pPr>
        <w:ind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Изменить вид разрешенного использования участка невозможно:</w:t>
      </w:r>
      <w:r>
        <w:rPr>
          <w:rFonts w:ascii="Segoe UI" w:hAnsi="Segoe UI" w:cs="Segoe UI"/>
        </w:rPr>
      </w:r>
    </w:p>
    <w:p>
      <w:pPr>
        <w:numPr>
          <w:ilvl w:val="0"/>
          <w:numId w:val="7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если договор аренды участка, находящегося в государственной (муниципальной) собственности, заключен на торгах;</w:t>
      </w:r>
      <w:r>
        <w:rPr>
          <w:rFonts w:ascii="Segoe UI" w:hAnsi="Segoe UI" w:cs="Segoe UI"/>
        </w:rPr>
      </w:r>
    </w:p>
    <w:p>
      <w:pPr>
        <w:numPr>
          <w:ilvl w:val="0"/>
          <w:numId w:val="7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арендатору самостоятельно, если участок предоставлен в аренду для определенного вида использования;</w:t>
      </w:r>
      <w:r>
        <w:rPr>
          <w:rFonts w:ascii="Segoe UI" w:hAnsi="Segoe UI" w:cs="Segoe UI"/>
        </w:rPr>
      </w:r>
    </w:p>
    <w:p>
      <w:pPr>
        <w:numPr>
          <w:ilvl w:val="0"/>
          <w:numId w:val="7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если градостроительным регламентом и ПЗЗ для запрашиваемого вида использования установлены предельные размеры и параметры, не позволяющие вести деятельность согласно данному ВРИ;</w:t>
      </w:r>
      <w:r>
        <w:rPr>
          <w:rFonts w:ascii="Segoe UI" w:hAnsi="Segoe UI" w:cs="Segoe UI"/>
        </w:rPr>
      </w:r>
    </w:p>
    <w:p>
      <w:pPr>
        <w:numPr>
          <w:ilvl w:val="0"/>
          <w:numId w:val="7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если земельный участок</w:t>
      </w:r>
      <w:r>
        <w:rPr>
          <w:rFonts w:ascii="Segoe UI" w:hAnsi="Segoe UI" w:cs="Segoe UI"/>
        </w:rPr>
        <w:t xml:space="preserve"> расположен на землях, на которые действие градостроительных регламентов не распространяется или для которых градостроительные регламенты не устанавливаются, при отсутствии порядка изменения ВРИ таких земельных участков, установленного федеральным законом;</w:t>
      </w:r>
      <w:r>
        <w:rPr>
          <w:rFonts w:ascii="Segoe UI" w:hAnsi="Segoe UI" w:cs="Segoe UI"/>
        </w:rPr>
      </w:r>
    </w:p>
    <w:p>
      <w:pPr>
        <w:numPr>
          <w:ilvl w:val="0"/>
          <w:numId w:val="7"/>
        </w:numPr>
        <w:ind w:left="0" w:firstLine="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если земельный участок, находящийся в государственной или муниципальной собственности, предоставлен в аренду без проведения торгов для производства продукции по импортозамещению.  </w:t>
      </w:r>
      <w:r>
        <w:rPr>
          <w:rFonts w:ascii="Segoe UI" w:hAnsi="Segoe UI" w:cs="Segoe UI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lang w:eastAsia="ru-RU"/>
        </w:rPr>
      </w:r>
    </w:p>
    <w:p>
      <w:pPr>
        <w:jc w:val="right"/>
        <w:spacing w:after="0" w:line="240" w:lineRule="auto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r>
    </w:p>
    <w:p>
      <w:pPr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1"/>
    <w:link w:val="63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1"/>
    <w:link w:val="63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1"/>
    <w:link w:val="63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1"/>
    <w:link w:val="63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1"/>
    <w:link w:val="63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1"/>
    <w:link w:val="63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1"/>
    <w:link w:val="6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1"/>
    <w:link w:val="63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1"/>
    <w:link w:val="64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41"/>
    <w:link w:val="653"/>
    <w:uiPriority w:val="10"/>
    <w:rPr>
      <w:sz w:val="48"/>
      <w:szCs w:val="48"/>
    </w:rPr>
  </w:style>
  <w:style w:type="character" w:styleId="37">
    <w:name w:val="Subtitle Char"/>
    <w:basedOn w:val="641"/>
    <w:link w:val="655"/>
    <w:uiPriority w:val="11"/>
    <w:rPr>
      <w:sz w:val="24"/>
      <w:szCs w:val="24"/>
    </w:rPr>
  </w:style>
  <w:style w:type="character" w:styleId="39">
    <w:name w:val="Quote Char"/>
    <w:link w:val="657"/>
    <w:uiPriority w:val="29"/>
    <w:rPr>
      <w:i/>
    </w:rPr>
  </w:style>
  <w:style w:type="character" w:styleId="41">
    <w:name w:val="Intense Quote Char"/>
    <w:link w:val="661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41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41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1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1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paragraph" w:styleId="632">
    <w:name w:val="Heading 1"/>
    <w:basedOn w:val="631"/>
    <w:next w:val="631"/>
    <w:link w:val="644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33">
    <w:name w:val="Heading 2"/>
    <w:basedOn w:val="631"/>
    <w:next w:val="631"/>
    <w:link w:val="645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4">
    <w:name w:val="Heading 3"/>
    <w:basedOn w:val="631"/>
    <w:next w:val="631"/>
    <w:link w:val="646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35">
    <w:name w:val="Heading 4"/>
    <w:basedOn w:val="631"/>
    <w:next w:val="631"/>
    <w:link w:val="647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36">
    <w:name w:val="Heading 5"/>
    <w:basedOn w:val="631"/>
    <w:next w:val="631"/>
    <w:link w:val="648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37">
    <w:name w:val="Heading 6"/>
    <w:basedOn w:val="631"/>
    <w:next w:val="631"/>
    <w:link w:val="649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8">
    <w:name w:val="Heading 7"/>
    <w:basedOn w:val="631"/>
    <w:next w:val="631"/>
    <w:link w:val="650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9">
    <w:name w:val="Heading 8"/>
    <w:basedOn w:val="631"/>
    <w:next w:val="631"/>
    <w:link w:val="651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40">
    <w:name w:val="Heading 9"/>
    <w:basedOn w:val="631"/>
    <w:next w:val="631"/>
    <w:link w:val="652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41" w:default="1">
    <w:name w:val="Default Paragraph Font"/>
    <w:uiPriority w:val="1"/>
    <w:semiHidden/>
    <w:unhideWhenUsed/>
  </w:style>
  <w:style w:type="table" w:styleId="6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3" w:default="1">
    <w:name w:val="No List"/>
    <w:uiPriority w:val="99"/>
    <w:semiHidden/>
    <w:unhideWhenUsed/>
  </w:style>
  <w:style w:type="character" w:styleId="644" w:customStyle="1">
    <w:name w:val="Заголовок 1 Знак"/>
    <w:basedOn w:val="641"/>
    <w:link w:val="63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45" w:customStyle="1">
    <w:name w:val="Заголовок 2 Знак"/>
    <w:basedOn w:val="641"/>
    <w:link w:val="633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46" w:customStyle="1">
    <w:name w:val="Заголовок 3 Знак"/>
    <w:basedOn w:val="641"/>
    <w:link w:val="634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47" w:customStyle="1">
    <w:name w:val="Заголовок 4 Знак"/>
    <w:basedOn w:val="641"/>
    <w:link w:val="635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8" w:customStyle="1">
    <w:name w:val="Заголовок 5 Знак"/>
    <w:basedOn w:val="641"/>
    <w:link w:val="636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9" w:customStyle="1">
    <w:name w:val="Заголовок 6 Знак"/>
    <w:basedOn w:val="641"/>
    <w:link w:val="637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50" w:customStyle="1">
    <w:name w:val="Заголовок 7 Знак"/>
    <w:basedOn w:val="641"/>
    <w:link w:val="638"/>
    <w:uiPriority w:val="9"/>
    <w:semiHidden/>
    <w:rPr>
      <w:rFonts w:eastAsiaTheme="majorEastAsia" w:cstheme="majorBidi"/>
      <w:color w:val="595959" w:themeColor="text1" w:themeTint="A6"/>
    </w:rPr>
  </w:style>
  <w:style w:type="character" w:styleId="651" w:customStyle="1">
    <w:name w:val="Заголовок 8 Знак"/>
    <w:basedOn w:val="641"/>
    <w:link w:val="639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52" w:customStyle="1">
    <w:name w:val="Заголовок 9 Знак"/>
    <w:basedOn w:val="641"/>
    <w:link w:val="640"/>
    <w:uiPriority w:val="9"/>
    <w:semiHidden/>
    <w:rPr>
      <w:rFonts w:eastAsiaTheme="majorEastAsia" w:cstheme="majorBidi"/>
      <w:color w:val="272727" w:themeColor="text1" w:themeTint="D8"/>
    </w:rPr>
  </w:style>
  <w:style w:type="paragraph" w:styleId="653">
    <w:name w:val="Title"/>
    <w:basedOn w:val="631"/>
    <w:next w:val="631"/>
    <w:link w:val="654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54" w:customStyle="1">
    <w:name w:val="Заголовок Знак"/>
    <w:basedOn w:val="641"/>
    <w:link w:val="65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55">
    <w:name w:val="Subtitle"/>
    <w:basedOn w:val="631"/>
    <w:next w:val="631"/>
    <w:link w:val="65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6" w:customStyle="1">
    <w:name w:val="Подзаголовок Знак"/>
    <w:basedOn w:val="641"/>
    <w:link w:val="65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57">
    <w:name w:val="Quote"/>
    <w:basedOn w:val="631"/>
    <w:next w:val="631"/>
    <w:link w:val="65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8" w:customStyle="1">
    <w:name w:val="Цитата 2 Знак"/>
    <w:basedOn w:val="641"/>
    <w:link w:val="657"/>
    <w:uiPriority w:val="29"/>
    <w:rPr>
      <w:i/>
      <w:iCs/>
      <w:color w:val="404040" w:themeColor="text1" w:themeTint="BF"/>
    </w:rPr>
  </w:style>
  <w:style w:type="paragraph" w:styleId="659">
    <w:name w:val="List Paragraph"/>
    <w:basedOn w:val="631"/>
    <w:uiPriority w:val="34"/>
    <w:qFormat/>
    <w:pPr>
      <w:contextualSpacing/>
      <w:ind w:left="720"/>
    </w:pPr>
  </w:style>
  <w:style w:type="character" w:styleId="660">
    <w:name w:val="Intense Emphasis"/>
    <w:basedOn w:val="641"/>
    <w:uiPriority w:val="21"/>
    <w:qFormat/>
    <w:rPr>
      <w:i/>
      <w:iCs/>
      <w:color w:val="2f5496" w:themeColor="accent1" w:themeShade="BF"/>
    </w:rPr>
  </w:style>
  <w:style w:type="paragraph" w:styleId="661">
    <w:name w:val="Intense Quote"/>
    <w:basedOn w:val="631"/>
    <w:next w:val="631"/>
    <w:link w:val="662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62" w:customStyle="1">
    <w:name w:val="Выделенная цитата Знак"/>
    <w:basedOn w:val="641"/>
    <w:link w:val="661"/>
    <w:uiPriority w:val="30"/>
    <w:rPr>
      <w:i/>
      <w:iCs/>
      <w:color w:val="2f5496" w:themeColor="accent1" w:themeShade="BF"/>
    </w:rPr>
  </w:style>
  <w:style w:type="character" w:styleId="663">
    <w:name w:val="Intense Reference"/>
    <w:basedOn w:val="641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64">
    <w:name w:val="Hyperlink"/>
    <w:basedOn w:val="641"/>
    <w:uiPriority w:val="99"/>
    <w:unhideWhenUsed/>
    <w:rPr>
      <w:color w:val="0563c1" w:themeColor="hyperlink"/>
      <w:u w:val="single"/>
    </w:rPr>
  </w:style>
  <w:style w:type="character" w:styleId="665">
    <w:name w:val="Unresolved Mention"/>
    <w:basedOn w:val="641"/>
    <w:uiPriority w:val="99"/>
    <w:semiHidden/>
    <w:unhideWhenUsed/>
    <w:rPr>
      <w:color w:val="605e5c"/>
      <w:shd w:val="clear" w:color="auto" w:fill="e1dfdd"/>
    </w:rPr>
  </w:style>
  <w:style w:type="paragraph" w:styleId="666" w:customStyle="1">
    <w:name w:val="article_decoration_first"/>
    <w:basedOn w:val="6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  <w14:ligatures w14:val="none"/>
    </w:rPr>
  </w:style>
  <w:style w:type="paragraph" w:styleId="667">
    <w:name w:val="Normal (Web)"/>
    <w:basedOn w:val="6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668">
    <w:name w:val="FollowedHyperlink"/>
    <w:basedOn w:val="641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base.garant.ru/75062082/53f89421bbdaf741eb2d1ecc4ddb4c33/" TargetMode="External"/><Relationship Id="rId11" Type="http://schemas.openxmlformats.org/officeDocument/2006/relationships/hyperlink" Target="http://www.consultant.ru/document/cons_doc_LAW_51040/39dc72c976ad75cbd1bbdc145ebfc7388c21062e/" TargetMode="External"/><Relationship Id="rId12" Type="http://schemas.openxmlformats.org/officeDocument/2006/relationships/hyperlink" Target="https://rosreestr.gov.ru/eservices/request_info_from_egrn/" TargetMode="External"/><Relationship Id="rId13" Type="http://schemas.openxmlformats.org/officeDocument/2006/relationships/hyperlink" Target="https://www.gosuslugi.ru/600978/1/form" TargetMode="External"/><Relationship Id="rId14" Type="http://schemas.openxmlformats.org/officeDocument/2006/relationships/hyperlink" Target="https://kadastr.ru/services/zakaz-vypisok-iz-egrn3442/" TargetMode="External"/><Relationship Id="rId15" Type="http://schemas.openxmlformats.org/officeDocument/2006/relationships/hyperlink" Target="https://nspd.gov.ru/map?thematic=PKK&amp;baseLayerId=235&amp;zoom=4.32&amp;coordinate_x=9040617.332112517&amp;coordinate_y=8465542.576072736&amp;theme_id=1&amp;is_copy_url=tru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6</cp:revision>
  <dcterms:created xsi:type="dcterms:W3CDTF">2025-07-10T11:44:00Z</dcterms:created>
  <dcterms:modified xsi:type="dcterms:W3CDTF">2025-07-18T10:15:16Z</dcterms:modified>
</cp:coreProperties>
</file>