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Проводит ли Управление проверки деятельности арбитражных управляющих в делах о несостоятельности (банкротстве)?</w:t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Управление, исходя из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01.06.2009 № 457, </w:t>
      </w:r>
      <w:r>
        <w:rPr>
          <w:rFonts w:ascii="Segoe UI" w:hAnsi="Segoe UI" w:cs="Segoe UI"/>
          <w:b/>
          <w:bCs/>
        </w:rPr>
        <w:t xml:space="preserve">не наделено полномочиями по проведению проверок в отношении арбитражных управляющих. 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Согласно п. 2 ст. 22 Федерального закона от 26.10.2002 № 127-ФЗ </w:t>
      </w:r>
      <w:r>
        <w:rPr>
          <w:rFonts w:ascii="Segoe UI" w:hAnsi="Segoe UI" w:cs="Segoe UI"/>
        </w:rPr>
        <w:br/>
        <w:t xml:space="preserve">«О несостоятельности (банкротстве)» (далее – Закон о банкротстве) саморегулируемая организация арбитражных управляющих </w:t>
      </w:r>
      <w:r>
        <w:rPr>
          <w:rFonts w:ascii="Segoe UI" w:hAnsi="Segoe UI" w:cs="Segoe UI"/>
          <w:u w:val="single"/>
        </w:rPr>
        <w:t xml:space="preserve">обязана </w:t>
      </w:r>
      <w:r>
        <w:rPr>
          <w:rFonts w:ascii="Segoe UI" w:hAnsi="Segoe UI" w:cs="Segoe UI"/>
        </w:rPr>
        <w:t xml:space="preserve">контролировать профессиональную деятельность своих членов в части соблюдения требований настоящего Федерального закона, других федеральных законов, иных нормативных право</w:t>
      </w:r>
      <w:r>
        <w:rPr>
          <w:rFonts w:ascii="Segoe UI" w:hAnsi="Segoe UI" w:cs="Segoe UI"/>
        </w:rPr>
        <w:t xml:space="preserve">вых актов Российской Федерации, федеральных стандартов, стандартов и правил профессиональной деятельности, а также рассматривать жалобы на действия члена саморегулируемой организации, исполняющего обязанности арбитражного управляющего в деле о банкротстве.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Таким образом, Законом о банкротстве </w:t>
      </w:r>
      <w:r>
        <w:rPr>
          <w:rFonts w:ascii="Segoe UI" w:hAnsi="Segoe UI" w:cs="Segoe UI"/>
          <w:b/>
          <w:bCs/>
        </w:rPr>
        <w:t xml:space="preserve">проведение проверок </w:t>
      </w:r>
      <w:r>
        <w:rPr>
          <w:rFonts w:ascii="Segoe UI" w:hAnsi="Segoe UI" w:cs="Segoe UI"/>
        </w:rPr>
        <w:t xml:space="preserve">(плановых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и внеплановых) законности действий (бездействия) арбитражных управляющих </w:t>
      </w:r>
      <w:r>
        <w:rPr>
          <w:rFonts w:ascii="Segoe UI" w:hAnsi="Segoe UI" w:cs="Segoe UI"/>
          <w:b/>
          <w:bCs/>
        </w:rPr>
        <w:t xml:space="preserve">отнесено к компетенции саморегулируемой организации</w:t>
      </w:r>
      <w:r>
        <w:rPr>
          <w:rFonts w:ascii="Segoe UI" w:hAnsi="Segoe UI" w:cs="Segoe UI"/>
        </w:rPr>
        <w:t xml:space="preserve">, членом которой является арбитражный управляющий.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соответствии с п. 10 ч. 2 ст. 28.3 Кодекса Российской Федерации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об административных правонарушениях (далее – КоАП РФ) должностные лица Управления наделены полномочиями по составлению протоколов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об административных правонарушениях, предусмотренных ст. 14.13 КоАП РФ,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отношении арбитражных управляющих, в связи с неисполнением обязанностей, установленных законодательством о несостоятельности (банкротстве), если такое действие (бездействие) не содержит уголовно-наказуемого деяния. 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 этом согласно п. 3 ст. 28.1 КоАП РФ дело об административном правонарушении может быть возбуждено должностным лицом, уполномоченным составлять протоколы об административных правонарушениях, только при наличии повода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и достаточных данных, указывающих на наличие события административного правонарушения.</w:t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Тем самым при отсутствии в обращении достаточных данных, указывающих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на событие административного правонарушения, установленного ст. 14.13 КоАП РФ, повод для возбуждения дела об административном правонарушении отсутствует.</w:t>
      </w:r>
      <w:r>
        <w:rPr>
          <w:rFonts w:ascii="Segoe UI" w:hAnsi="Segoe UI" w:cs="Segoe UI"/>
        </w:rPr>
      </w:r>
    </w:p>
    <w:p>
      <w:pPr>
        <w:jc w:val="both"/>
        <w:spacing w:line="276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jc w:val="right"/>
      </w:pPr>
      <w:r/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4</cp:revision>
  <dcterms:created xsi:type="dcterms:W3CDTF">2025-08-12T07:07:00Z</dcterms:created>
  <dcterms:modified xsi:type="dcterms:W3CDTF">2025-08-20T05:56:26Z</dcterms:modified>
</cp:coreProperties>
</file>