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5"/>
        <w:spacing w:after="0" w:line="240" w:lineRule="auto"/>
        <w:rPr>
          <w:rFonts w:ascii="Segoe UI" w:hAnsi="Segoe UI" w:eastAsia="Times New Roman" w:cs="Segoe UI"/>
          <w:b/>
          <w:bCs/>
          <w:sz w:val="32"/>
          <w:szCs w:val="32"/>
          <w:lang w:eastAsia="ru-RU"/>
        </w:rPr>
      </w:pPr>
      <w:r>
        <w:rPr>
          <w:rFonts w:ascii="Segoe UI" w:hAnsi="Segoe UI" w:eastAsia="Times New Roman" w:cs="Segoe UI"/>
          <w:b/>
          <w:bCs/>
          <w:sz w:val="32"/>
          <w:szCs w:val="32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-162000</wp:posOffset>
                </wp:positionH>
                <wp:positionV relativeFrom="paragraph">
                  <wp:posOffset>-334080</wp:posOffset>
                </wp:positionV>
                <wp:extent cx="2692440" cy="981000"/>
                <wp:effectExtent l="0" t="0" r="0" b="0"/>
                <wp:wrapNone/>
                <wp:docPr id="1" name="Рисунок 1" descr="C:\Users\ЗилаловаГП\Downloads\imgonline-com-ua-Resize-AxUH5qc9MGoX5HD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8">
                          <a:lum/>
                          <a:alphaModFix/>
                        </a:blip>
                        <a:stretch/>
                      </pic:blipFill>
                      <pic:spPr bwMode="auto">
                        <a:xfrm>
                          <a:off x="0" y="0"/>
                          <a:ext cx="2692440" cy="9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9264;o:allowoverlap:true;o:allowincell:true;mso-position-horizontal-relative:text;margin-left:-12.76pt;mso-position-horizontal:absolute;mso-position-vertical-relative:text;margin-top:-26.31pt;mso-position-vertical:absolute;width:212.00pt;height:77.24pt;mso-wrap-distance-left:9.00pt;mso-wrap-distance-top:0.00pt;mso-wrap-distance-right:9.00pt;mso-wrap-distance-bottom:0.00pt;" stroked="f">
                <v:path textboxrect="0,0,0,0"/>
                <v:imagedata r:id="rId8" o:title=""/>
              </v:shape>
            </w:pict>
          </mc:Fallback>
        </mc:AlternateContent>
      </w:r>
      <w:r>
        <w:rPr>
          <w:rFonts w:ascii="Segoe UI" w:hAnsi="Segoe UI" w:eastAsia="Times New Roman" w:cs="Segoe UI"/>
          <w:b/>
          <w:bCs/>
          <w:sz w:val="32"/>
          <w:szCs w:val="32"/>
          <w:lang w:eastAsia="ru-RU"/>
        </w:rPr>
      </w:r>
    </w:p>
    <w:p>
      <w:pPr>
        <w:pStyle w:val="835"/>
        <w:spacing w:after="0" w:line="240" w:lineRule="auto"/>
        <w:rPr>
          <w:rFonts w:ascii="Segoe UI" w:hAnsi="Segoe UI" w:eastAsia="Times New Roman" w:cs="Segoe UI"/>
          <w:b/>
          <w:bCs/>
          <w:sz w:val="32"/>
          <w:szCs w:val="32"/>
          <w:lang w:eastAsia="ru-RU"/>
        </w:rPr>
      </w:pPr>
      <w:r>
        <w:rPr>
          <w:rFonts w:ascii="Segoe UI" w:hAnsi="Segoe UI" w:eastAsia="Times New Roman" w:cs="Segoe UI"/>
          <w:b/>
          <w:bCs/>
          <w:sz w:val="32"/>
          <w:szCs w:val="32"/>
          <w:lang w:eastAsia="ru-RU"/>
        </w:rPr>
      </w:r>
      <w:r>
        <w:rPr>
          <w:rFonts w:ascii="Segoe UI" w:hAnsi="Segoe UI" w:eastAsia="Times New Roman" w:cs="Segoe UI"/>
          <w:b/>
          <w:bCs/>
          <w:sz w:val="32"/>
          <w:szCs w:val="32"/>
          <w:lang w:eastAsia="ru-RU"/>
        </w:rPr>
      </w:r>
    </w:p>
    <w:p>
      <w:pPr>
        <w:pStyle w:val="835"/>
        <w:ind w:left="5664" w:firstLine="708"/>
        <w:jc w:val="center"/>
        <w:spacing w:after="0" w:line="240" w:lineRule="auto"/>
      </w:pPr>
      <w:r>
        <w:rPr>
          <w:rFonts w:ascii="Segoe UI" w:hAnsi="Segoe UI" w:eastAsia="Times New Roman" w:cs="Segoe UI"/>
          <w:b/>
          <w:bCs/>
          <w:sz w:val="32"/>
          <w:szCs w:val="32"/>
          <w:lang w:eastAsia="ru-RU"/>
        </w:rPr>
        <w:t xml:space="preserve">ПРЕСС-РЕЛИЗ</w:t>
      </w:r>
      <w:r/>
    </w:p>
    <w:p>
      <w:pPr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</w:p>
    <w:p>
      <w:pPr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Управление Росреестра по Свердловской области информирует о необходимости гражданами сохранять пункты ГГС </w:t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contextualSpacing/>
        <w:ind w:right="50" w:firstLine="709"/>
        <w:jc w:val="both"/>
        <w:spacing w:after="0" w:line="240" w:lineRule="auto"/>
        <w:shd w:val="clear" w:color="auto" w:fill="f8f8f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Управление Росреес</w:t>
      </w:r>
      <w:r>
        <w:rPr>
          <w:rFonts w:ascii="Times New Roman" w:hAnsi="Times New Roman" w:cs="Times New Roman"/>
          <w:sz w:val="26"/>
          <w:szCs w:val="26"/>
        </w:rPr>
        <w:t xml:space="preserve">тра по Свердловской области напоминает, что обязанность собственника земельного участка, на котором расположен межевой, геодезический и другой специальный знак, сохранять соответствующие знаки установлена статьей 42 Земельного кодекса Российской Федерации.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/>
        <w:ind w:right="5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 каждого такого знака есть своя охранная зона. Границы охранной зоны пункта представляют собой квадрат со стороной 4 метра. Центр пункта ГГС совпадает с точкой пересечения диагоналей этого квадрата.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/>
        <w:ind w:right="50" w:firstLine="709"/>
        <w:jc w:val="both"/>
        <w:spacing w:after="0" w:line="240" w:lineRule="auto"/>
        <w:shd w:val="clear" w:color="auto" w:fill="f8f8f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пределах границ охранных зон пунктов запрещается использование земельны</w:t>
      </w:r>
      <w:r>
        <w:rPr>
          <w:rFonts w:ascii="Times New Roman" w:hAnsi="Times New Roman" w:cs="Times New Roman"/>
          <w:sz w:val="26"/>
          <w:szCs w:val="26"/>
        </w:rPr>
        <w:t xml:space="preserve">х участков для осуществления видов деятельности, приводящих к повреждению или уничтожению наружных опознавательных знаков пунктов, нарушению неизменности местоположения их центров, уничтожению, перемещению, засыпке или повреждению составных частей пунктов.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/>
        <w:ind w:right="50" w:firstLine="709"/>
        <w:jc w:val="both"/>
        <w:spacing w:after="0" w:line="240" w:lineRule="auto"/>
        <w:shd w:val="clear" w:color="auto" w:fill="f8f8f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Также на земельных участках в границах охранных зон пунктов запрещается проведение работ, размещение объектов и предметов, которые могут препятствовать доступу к пунктам.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«Государственная геодезическая сеть, государственная нивелирная сеть и государственная гравиметрическая сеть создаются и используются для обеспечения выполнения геодезических и картографических работ. В целях обеспечения сохранности пунктов Г</w:t>
      </w:r>
      <w:r>
        <w:rPr>
          <w:rFonts w:ascii="Times New Roman" w:hAnsi="Times New Roman" w:cs="Times New Roman"/>
          <w:i/>
          <w:sz w:val="26"/>
          <w:szCs w:val="26"/>
        </w:rPr>
        <w:t xml:space="preserve">ГС и ГНС Управление Росреестра по Свердловской области выполняет работы по установлению охранных зон этих пунктов и внесению сведений в ЕГРН. На сегодняшний день в ЕГРН содержатся сведения о 3 767 охранных зонах пунктов ГГС и 486 охранных зонах пунктов ГНС</w:t>
      </w:r>
      <w:r>
        <w:rPr>
          <w:rFonts w:ascii="Times New Roman" w:hAnsi="Times New Roman" w:cs="Times New Roman"/>
          <w:sz w:val="26"/>
          <w:szCs w:val="26"/>
        </w:rPr>
        <w:t xml:space="preserve">» – отметила заместитель руководителя Управления Росреестра по Свердловской области </w:t>
      </w:r>
      <w:r>
        <w:rPr>
          <w:rFonts w:ascii="Times New Roman" w:hAnsi="Times New Roman" w:cs="Times New Roman"/>
          <w:b/>
          <w:sz w:val="26"/>
          <w:szCs w:val="26"/>
        </w:rPr>
        <w:t xml:space="preserve">Татьяна Янтюшева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Уничтожение, повреждение или снос пунктов ГГС, пунктов геодезической сети специального назначения влечет наложение административного штрафа (п. 3 ст. 7.2 КоАП РФ).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Проверить, попадает ли земельный участок в охранную зону геодезического пункта, можно с помощью </w:t>
      </w:r>
      <w:hyperlink r:id="rId9" w:tooltip="https://nspd.gov.ru/#top_section" w:anchor="top_section" w:history="1">
        <w:r>
          <w:rPr>
            <w:rStyle w:val="834"/>
            <w:rFonts w:ascii="Times New Roman" w:hAnsi="Times New Roman" w:cs="Times New Roman"/>
            <w:sz w:val="26"/>
            <w:szCs w:val="26"/>
          </w:rPr>
          <w:t xml:space="preserve">Портала пространственных данных «Национальная система пространственных данных»</w:t>
        </w:r>
      </w:hyperlink>
      <w:r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Для этого пользователю необходимо найти на публичной кадастровой карте интересующий его земельный участок. В меню, в левом верхнем углу, нужно </w:t>
      </w:r>
      <w:r>
        <w:rPr>
          <w:rFonts w:ascii="Times New Roman" w:hAnsi="Times New Roman" w:cs="Times New Roman"/>
          <w:sz w:val="26"/>
          <w:szCs w:val="26"/>
        </w:rPr>
        <w:t xml:space="preserve">выбрать инструмент «Слои» и сделать активным слой «Зона с особыми условиями использования территорий». На карте синим цветом отобразятся зоны с особыми условиями использования территорий, внесенные в ЕГРН, в том числе и охранные зоны геодезических пунктов.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«О наличии или отсутствии охранной зоны геодезического пункта можно также узнать</w:t>
      </w:r>
      <w:r>
        <w:rPr>
          <w:rFonts w:ascii="Times New Roman" w:hAnsi="Times New Roman" w:cs="Times New Roman"/>
          <w:i/>
          <w:sz w:val="26"/>
          <w:szCs w:val="26"/>
        </w:rPr>
        <w:t xml:space="preserve">,</w:t>
      </w:r>
      <w:r>
        <w:rPr>
          <w:rFonts w:ascii="Times New Roman" w:hAnsi="Times New Roman" w:cs="Times New Roman"/>
          <w:i/>
          <w:sz w:val="26"/>
          <w:szCs w:val="26"/>
        </w:rPr>
        <w:t xml:space="preserve"> запросив выписку из ЕГРН</w:t>
      </w:r>
      <w:r>
        <w:rPr>
          <w:rFonts w:ascii="Times New Roman" w:hAnsi="Times New Roman" w:cs="Times New Roman"/>
          <w:i/>
          <w:sz w:val="26"/>
          <w:szCs w:val="26"/>
        </w:rPr>
        <w:t xml:space="preserve"> об объекте недвижимости</w:t>
      </w:r>
      <w:r>
        <w:rPr>
          <w:rFonts w:ascii="Times New Roman" w:hAnsi="Times New Roman" w:cs="Times New Roman"/>
          <w:i/>
          <w:sz w:val="26"/>
          <w:szCs w:val="26"/>
        </w:rPr>
        <w:t xml:space="preserve">. Для этого можно подать запрос на официальном сайте Росреестра или на портале государственных услуг</w:t>
      </w:r>
      <w:r>
        <w:rPr>
          <w:rFonts w:ascii="Times New Roman" w:hAnsi="Times New Roman" w:cs="Times New Roman"/>
          <w:i/>
          <w:sz w:val="26"/>
          <w:szCs w:val="26"/>
        </w:rPr>
        <w:t xml:space="preserve">, либо обратиться в МФЦ</w:t>
      </w:r>
      <w:r>
        <w:rPr>
          <w:rFonts w:ascii="Times New Roman" w:hAnsi="Times New Roman" w:cs="Times New Roman"/>
          <w:i/>
          <w:sz w:val="26"/>
          <w:szCs w:val="26"/>
        </w:rPr>
        <w:t xml:space="preserve">. Информация об охранной зоне геодезического пункта отобразится в разделе «</w:t>
      </w:r>
      <w:r>
        <w:rPr>
          <w:rFonts w:ascii="Times New Roman" w:hAnsi="Times New Roman" w:cs="Times New Roman"/>
          <w:i/>
          <w:sz w:val="26"/>
          <w:szCs w:val="26"/>
        </w:rPr>
        <w:t xml:space="preserve">Сведения о характеристиках объекта недвижимости</w:t>
      </w:r>
      <w:r>
        <w:rPr>
          <w:rFonts w:ascii="Times New Roman" w:hAnsi="Times New Roman" w:cs="Times New Roman"/>
          <w:i/>
          <w:sz w:val="26"/>
          <w:szCs w:val="26"/>
        </w:rPr>
        <w:t xml:space="preserve">», - </w:t>
      </w:r>
      <w:r>
        <w:rPr>
          <w:rFonts w:ascii="Times New Roman" w:hAnsi="Times New Roman" w:cs="Times New Roman"/>
          <w:sz w:val="26"/>
          <w:szCs w:val="26"/>
        </w:rPr>
        <w:t xml:space="preserve">сообщает заместитель директора филиала публично-правовой компании «Роскадастр» по Уральскому федеральному округу </w:t>
      </w:r>
      <w:r>
        <w:rPr>
          <w:rFonts w:ascii="Times New Roman" w:hAnsi="Times New Roman" w:cs="Times New Roman"/>
          <w:b/>
          <w:sz w:val="26"/>
          <w:szCs w:val="26"/>
        </w:rPr>
        <w:t xml:space="preserve">Юрий Белоусов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Segoe UI" w:hAnsi="Segoe UI" w:cs="Segoe UI" w:eastAsiaTheme="minorEastAsia"/>
          <w:lang w:eastAsia="ru-RU"/>
        </w:rPr>
      </w:pPr>
      <w:r>
        <w:rPr>
          <w:rFonts w:cs="Times New Roman" w:eastAsiaTheme="minorEastAsia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4294967289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67945</wp:posOffset>
                </wp:positionV>
                <wp:extent cx="6000750" cy="0"/>
                <wp:effectExtent l="0" t="0" r="19050" b="19050"/>
                <wp:wrapNone/>
                <wp:docPr id="2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32" type="#_x0000_t32" style="position:absolute;z-index:251661312;o:allowoverlap:true;o:allowincell:true;mso-position-horizontal-relative:margin;mso-position-horizontal:right;mso-position-vertical-relative:text;margin-top:5.35pt;mso-position-vertical:absolute;width:472.50pt;height:0.00pt;mso-wrap-distance-left:9.00pt;mso-wrap-distance-top:0.00pt;mso-wrap-distance-right:9.00pt;mso-wrap-distance-bottom:-169093.20pt;visibility:visible;" filled="f" strokecolor="#0070C0" strokeweight="1.25pt"/>
            </w:pict>
          </mc:Fallback>
        </mc:AlternateContent>
      </w:r>
      <w:r>
        <w:rPr>
          <w:rFonts w:ascii="Segoe UI" w:hAnsi="Segoe UI" w:cs="Segoe UI" w:eastAsiaTheme="minorEastAsia"/>
          <w:lang w:eastAsia="ru-RU"/>
        </w:rPr>
      </w:r>
    </w:p>
    <w:p>
      <w:pPr>
        <w:ind w:firstLine="708"/>
        <w:jc w:val="right"/>
      </w:pPr>
      <w:r/>
      <w:r>
        <w:rPr>
          <w:rFonts w:ascii="Segoe UI" w:hAnsi="Segoe UI" w:cs="Segoe UI" w:eastAsiaTheme="minorEastAsia"/>
          <w:b/>
          <w:bCs/>
          <w:sz w:val="24"/>
          <w:szCs w:val="24"/>
          <w:lang w:eastAsia="ru-RU"/>
        </w:rPr>
        <w:t xml:space="preserve">Талицкий отдел Управления Росреестра по Свердловской области</w:t>
      </w:r>
      <w:r/>
      <w:r/>
    </w:p>
    <w:sectPr>
      <w:footnotePr/>
      <w:endnotePr/>
      <w:type w:val="nextPage"/>
      <w:pgSz w:w="11906" w:h="16838" w:orient="portrait"/>
      <w:pgMar w:top="1134" w:right="850" w:bottom="709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Times New Roman">
    <w:panose1 w:val="02020603050405020304"/>
  </w:font>
  <w:font w:name="F">
    <w:panose1 w:val="020B060302010202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677"/>
    <w:uiPriority w:val="10"/>
    <w:rPr>
      <w:sz w:val="48"/>
      <w:szCs w:val="48"/>
    </w:rPr>
  </w:style>
  <w:style w:type="character" w:styleId="37">
    <w:name w:val="Subtitle Char"/>
    <w:basedOn w:val="663"/>
    <w:link w:val="679"/>
    <w:uiPriority w:val="11"/>
    <w:rPr>
      <w:sz w:val="24"/>
      <w:szCs w:val="24"/>
    </w:rPr>
  </w:style>
  <w:style w:type="character" w:styleId="39">
    <w:name w:val="Quote Char"/>
    <w:link w:val="681"/>
    <w:uiPriority w:val="29"/>
    <w:rPr>
      <w:i/>
    </w:rPr>
  </w:style>
  <w:style w:type="character" w:styleId="41">
    <w:name w:val="Intense Quote Char"/>
    <w:link w:val="683"/>
    <w:uiPriority w:val="30"/>
    <w:rPr>
      <w:i/>
    </w:rPr>
  </w:style>
  <w:style w:type="character" w:styleId="43">
    <w:name w:val="Header Char"/>
    <w:basedOn w:val="663"/>
    <w:link w:val="685"/>
    <w:uiPriority w:val="99"/>
  </w:style>
  <w:style w:type="character" w:styleId="47">
    <w:name w:val="Caption Char"/>
    <w:basedOn w:val="689"/>
    <w:link w:val="687"/>
    <w:uiPriority w:val="99"/>
  </w:style>
  <w:style w:type="table" w:styleId="50">
    <w:name w:val="Plain Table 1"/>
    <w:basedOn w:val="6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6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">
    <w:name w:val="Grid Table 5 Dark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7">
    <w:name w:val="Grid Table 7 Colorful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6">
    <w:name w:val="List Table 7 Colorful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character" w:styleId="176">
    <w:name w:val="Footnote Text Char"/>
    <w:link w:val="817"/>
    <w:uiPriority w:val="99"/>
    <w:rPr>
      <w:sz w:val="18"/>
    </w:rPr>
  </w:style>
  <w:style w:type="character" w:styleId="179">
    <w:name w:val="Endnote Text Char"/>
    <w:link w:val="820"/>
    <w:uiPriority w:val="99"/>
    <w:rPr>
      <w:sz w:val="20"/>
    </w:rPr>
  </w:style>
  <w:style w:type="paragraph" w:styleId="653" w:default="1">
    <w:name w:val="Normal"/>
    <w:qFormat/>
  </w:style>
  <w:style w:type="paragraph" w:styleId="654">
    <w:name w:val="Heading 1"/>
    <w:basedOn w:val="653"/>
    <w:next w:val="653"/>
    <w:link w:val="666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</w:style>
  <w:style w:type="table" w:styleId="6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5" w:default="1">
    <w:name w:val="No List"/>
    <w:uiPriority w:val="99"/>
    <w:semiHidden/>
    <w:unhideWhenUsed/>
  </w:style>
  <w:style w:type="character" w:styleId="666" w:customStyle="1">
    <w:name w:val="Заголовок 1 Знак"/>
    <w:basedOn w:val="663"/>
    <w:link w:val="654"/>
    <w:uiPriority w:val="9"/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contextualSpacing/>
      <w:ind w:left="720"/>
    </w:pPr>
  </w:style>
  <w:style w:type="paragraph" w:styleId="676">
    <w:name w:val="No Spacing"/>
    <w:uiPriority w:val="1"/>
    <w:qFormat/>
    <w:pPr>
      <w:spacing w:after="0" w:line="240" w:lineRule="auto"/>
    </w:pPr>
  </w:style>
  <w:style w:type="paragraph" w:styleId="677">
    <w:name w:val="Title"/>
    <w:basedOn w:val="653"/>
    <w:next w:val="653"/>
    <w:link w:val="678"/>
    <w:uiPriority w:val="10"/>
    <w:qFormat/>
    <w:pPr>
      <w:contextualSpacing/>
      <w:spacing w:before="300"/>
    </w:pPr>
    <w:rPr>
      <w:sz w:val="48"/>
      <w:szCs w:val="48"/>
    </w:rPr>
  </w:style>
  <w:style w:type="character" w:styleId="678" w:customStyle="1">
    <w:name w:val="Заголовок Знак"/>
    <w:basedOn w:val="663"/>
    <w:link w:val="677"/>
    <w:uiPriority w:val="10"/>
    <w:rPr>
      <w:sz w:val="48"/>
      <w:szCs w:val="48"/>
    </w:rPr>
  </w:style>
  <w:style w:type="paragraph" w:styleId="679">
    <w:name w:val="Subtitle"/>
    <w:basedOn w:val="653"/>
    <w:next w:val="653"/>
    <w:link w:val="680"/>
    <w:uiPriority w:val="11"/>
    <w:qFormat/>
    <w:pPr>
      <w:spacing w:before="200"/>
    </w:pPr>
    <w:rPr>
      <w:sz w:val="24"/>
      <w:szCs w:val="24"/>
    </w:rPr>
  </w:style>
  <w:style w:type="character" w:styleId="680" w:customStyle="1">
    <w:name w:val="Подзаголовок Знак"/>
    <w:basedOn w:val="663"/>
    <w:link w:val="679"/>
    <w:uiPriority w:val="11"/>
    <w:rPr>
      <w:sz w:val="24"/>
      <w:szCs w:val="24"/>
    </w:rPr>
  </w:style>
  <w:style w:type="paragraph" w:styleId="681">
    <w:name w:val="Quote"/>
    <w:basedOn w:val="653"/>
    <w:next w:val="653"/>
    <w:link w:val="682"/>
    <w:uiPriority w:val="29"/>
    <w:qFormat/>
    <w:pPr>
      <w:ind w:left="720" w:right="720"/>
    </w:pPr>
    <w:rPr>
      <w:i/>
    </w:rPr>
  </w:style>
  <w:style w:type="character" w:styleId="682" w:customStyle="1">
    <w:name w:val="Цитата 2 Знак"/>
    <w:link w:val="681"/>
    <w:uiPriority w:val="29"/>
    <w:rPr>
      <w:i/>
    </w:rPr>
  </w:style>
  <w:style w:type="paragraph" w:styleId="683">
    <w:name w:val="Intense Quote"/>
    <w:basedOn w:val="653"/>
    <w:next w:val="653"/>
    <w:link w:val="68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4" w:customStyle="1">
    <w:name w:val="Выделенная цитата Знак"/>
    <w:link w:val="683"/>
    <w:uiPriority w:val="30"/>
    <w:rPr>
      <w:i/>
    </w:rPr>
  </w:style>
  <w:style w:type="paragraph" w:styleId="685">
    <w:name w:val="Header"/>
    <w:basedOn w:val="653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 w:customStyle="1">
    <w:name w:val="Верхний колонтитул Знак"/>
    <w:basedOn w:val="663"/>
    <w:link w:val="685"/>
    <w:uiPriority w:val="99"/>
  </w:style>
  <w:style w:type="paragraph" w:styleId="687">
    <w:name w:val="Footer"/>
    <w:basedOn w:val="653"/>
    <w:link w:val="69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 w:customStyle="1">
    <w:name w:val="Footer Char"/>
    <w:basedOn w:val="663"/>
    <w:uiPriority w:val="99"/>
  </w:style>
  <w:style w:type="paragraph" w:styleId="689">
    <w:name w:val="Caption"/>
    <w:basedOn w:val="653"/>
    <w:next w:val="653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690" w:customStyle="1">
    <w:name w:val="Нижний колонтитул Знак"/>
    <w:link w:val="687"/>
    <w:uiPriority w:val="99"/>
  </w:style>
  <w:style w:type="table" w:styleId="691">
    <w:name w:val="Table Grid"/>
    <w:basedOn w:val="66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2" w:customStyle="1">
    <w:name w:val="Table Grid Light"/>
    <w:basedOn w:val="66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93" w:customStyle="1">
    <w:name w:val="Таблица простая 11"/>
    <w:basedOn w:val="66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 w:customStyle="1">
    <w:name w:val="Таблица простая 21"/>
    <w:basedOn w:val="66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 w:customStyle="1">
    <w:name w:val="Таблица простая 31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 w:customStyle="1">
    <w:name w:val="Таблица простая 41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 w:customStyle="1">
    <w:name w:val="Таблица простая 51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 w:customStyle="1">
    <w:name w:val="Таблица-сетка 1 светлая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 w:customStyle="1">
    <w:name w:val="Grid Table 1 Light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 w:customStyle="1">
    <w:name w:val="Grid Table 1 Light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 w:customStyle="1">
    <w:name w:val="Таблица-сетка 2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2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2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2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2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2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Таблица-сетка 3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3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3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3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Таблица-сетка 41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 w:customStyle="1">
    <w:name w:val="Grid Table 4 - Accent 1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21" w:customStyle="1">
    <w:name w:val="Grid Table 4 - Accent 2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22" w:customStyle="1">
    <w:name w:val="Grid Table 4 - Accent 3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23" w:customStyle="1">
    <w:name w:val="Grid Table 4 - Accent 4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24" w:customStyle="1">
    <w:name w:val="Grid Table 4 - Accent 5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25" w:customStyle="1">
    <w:name w:val="Grid Table 4 - Accent 6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26" w:customStyle="1">
    <w:name w:val="Таблица-сетка 5 темная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7" w:customStyle="1">
    <w:name w:val="Grid Table 5 Dark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30" w:customStyle="1">
    <w:name w:val="Grid Table 5 Dark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31" w:customStyle="1">
    <w:name w:val="Grid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32" w:customStyle="1">
    <w:name w:val="Grid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33" w:customStyle="1">
    <w:name w:val="Таблица-сетка 6 цветная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4" w:customStyle="1">
    <w:name w:val="Grid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35" w:customStyle="1">
    <w:name w:val="Grid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36" w:customStyle="1">
    <w:name w:val="Grid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37" w:customStyle="1">
    <w:name w:val="Grid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38" w:customStyle="1">
    <w:name w:val="Grid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9" w:customStyle="1">
    <w:name w:val="Grid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0" w:customStyle="1">
    <w:name w:val="Таблица-сетка 7 цветная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1" w:customStyle="1">
    <w:name w:val="Grid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2" w:customStyle="1">
    <w:name w:val="Grid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3" w:customStyle="1">
    <w:name w:val="Grid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4" w:customStyle="1">
    <w:name w:val="Grid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5" w:customStyle="1">
    <w:name w:val="Grid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6" w:customStyle="1">
    <w:name w:val="Grid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7" w:customStyle="1">
    <w:name w:val="Список-таблица 1 светлая1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1 Light - Accent 1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2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3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List Table 1 Light - Accent 4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List Table 1 Light - Accent 5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List Table 1 Light - Accent 6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Список-таблица 2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5" w:customStyle="1">
    <w:name w:val="List Table 2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58" w:customStyle="1">
    <w:name w:val="List Table 2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59" w:customStyle="1">
    <w:name w:val="List Table 2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60" w:customStyle="1">
    <w:name w:val="List Table 2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61" w:customStyle="1">
    <w:name w:val="Список-таблица 3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3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3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Список-таблица 4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4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4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Список-таблица 5 темная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6" w:customStyle="1">
    <w:name w:val="List Table 5 Dark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 w:customStyle="1">
    <w:name w:val="List Table 5 Dark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 w:customStyle="1">
    <w:name w:val="List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1" w:customStyle="1">
    <w:name w:val="List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2" w:customStyle="1">
    <w:name w:val="Список-таблица 6 цветная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3" w:customStyle="1">
    <w:name w:val="List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84" w:customStyle="1">
    <w:name w:val="List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85" w:customStyle="1">
    <w:name w:val="List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86" w:customStyle="1">
    <w:name w:val="List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87" w:customStyle="1">
    <w:name w:val="List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88" w:customStyle="1">
    <w:name w:val="List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89" w:customStyle="1">
    <w:name w:val="Список-таблица 7 цветная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0" w:customStyle="1">
    <w:name w:val="List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1" w:customStyle="1">
    <w:name w:val="List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2" w:customStyle="1">
    <w:name w:val="List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3" w:customStyle="1">
    <w:name w:val="List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4" w:customStyle="1">
    <w:name w:val="List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5" w:customStyle="1">
    <w:name w:val="List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6" w:customStyle="1">
    <w:name w:val="Lined - Accent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7" w:customStyle="1">
    <w:name w:val="Lined - Accent 1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798" w:customStyle="1">
    <w:name w:val="Lined - Accent 2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799" w:customStyle="1">
    <w:name w:val="Lined - Accent 3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0" w:customStyle="1">
    <w:name w:val="Lined - Accent 4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1" w:customStyle="1">
    <w:name w:val="Lined - Accent 5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2" w:customStyle="1">
    <w:name w:val="Lined - Accent 6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3" w:customStyle="1">
    <w:name w:val="Bordered &amp; Lined - Accent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4" w:customStyle="1">
    <w:name w:val="Bordered &amp; Lined - Accent 1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5" w:customStyle="1">
    <w:name w:val="Bordered &amp; Lined - Accent 2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6" w:customStyle="1">
    <w:name w:val="Bordered &amp; Lined - Accent 3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7" w:customStyle="1">
    <w:name w:val="Bordered &amp; Lined - Accent 4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8" w:customStyle="1">
    <w:name w:val="Bordered &amp; Lined - Accent 5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9" w:customStyle="1">
    <w:name w:val="Bordered &amp; Lined - Accent 6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0" w:customStyle="1">
    <w:name w:val="Bordered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1" w:customStyle="1">
    <w:name w:val="Bordered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12" w:customStyle="1">
    <w:name w:val="Bordered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13" w:customStyle="1">
    <w:name w:val="Bordered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14" w:customStyle="1">
    <w:name w:val="Bordered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15" w:customStyle="1">
    <w:name w:val="Bordered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16" w:customStyle="1">
    <w:name w:val="Bordered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17">
    <w:name w:val="footnote text"/>
    <w:basedOn w:val="653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 w:customStyle="1">
    <w:name w:val="Текст сноски Знак"/>
    <w:link w:val="817"/>
    <w:uiPriority w:val="99"/>
    <w:rPr>
      <w:sz w:val="18"/>
    </w:rPr>
  </w:style>
  <w:style w:type="character" w:styleId="819">
    <w:name w:val="footnote reference"/>
    <w:basedOn w:val="663"/>
    <w:uiPriority w:val="99"/>
    <w:unhideWhenUsed/>
    <w:rPr>
      <w:vertAlign w:val="superscript"/>
    </w:rPr>
  </w:style>
  <w:style w:type="paragraph" w:styleId="820">
    <w:name w:val="endnote text"/>
    <w:basedOn w:val="653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 w:customStyle="1">
    <w:name w:val="Текст концевой сноски Знак"/>
    <w:link w:val="820"/>
    <w:uiPriority w:val="99"/>
    <w:rPr>
      <w:sz w:val="20"/>
    </w:rPr>
  </w:style>
  <w:style w:type="character" w:styleId="822">
    <w:name w:val="endnote reference"/>
    <w:basedOn w:val="663"/>
    <w:uiPriority w:val="99"/>
    <w:semiHidden/>
    <w:unhideWhenUsed/>
    <w:rPr>
      <w:vertAlign w:val="superscript"/>
    </w:rPr>
  </w:style>
  <w:style w:type="paragraph" w:styleId="823">
    <w:name w:val="toc 1"/>
    <w:basedOn w:val="653"/>
    <w:next w:val="653"/>
    <w:uiPriority w:val="39"/>
    <w:unhideWhenUsed/>
    <w:pPr>
      <w:spacing w:after="57"/>
    </w:pPr>
  </w:style>
  <w:style w:type="paragraph" w:styleId="824">
    <w:name w:val="toc 2"/>
    <w:basedOn w:val="653"/>
    <w:next w:val="653"/>
    <w:uiPriority w:val="39"/>
    <w:unhideWhenUsed/>
    <w:pPr>
      <w:ind w:left="283"/>
      <w:spacing w:after="57"/>
    </w:pPr>
  </w:style>
  <w:style w:type="paragraph" w:styleId="825">
    <w:name w:val="toc 3"/>
    <w:basedOn w:val="653"/>
    <w:next w:val="653"/>
    <w:uiPriority w:val="39"/>
    <w:unhideWhenUsed/>
    <w:pPr>
      <w:ind w:left="567"/>
      <w:spacing w:after="57"/>
    </w:pPr>
  </w:style>
  <w:style w:type="paragraph" w:styleId="826">
    <w:name w:val="toc 4"/>
    <w:basedOn w:val="653"/>
    <w:next w:val="653"/>
    <w:uiPriority w:val="39"/>
    <w:unhideWhenUsed/>
    <w:pPr>
      <w:ind w:left="850"/>
      <w:spacing w:after="57"/>
    </w:pPr>
  </w:style>
  <w:style w:type="paragraph" w:styleId="827">
    <w:name w:val="toc 5"/>
    <w:basedOn w:val="653"/>
    <w:next w:val="653"/>
    <w:uiPriority w:val="39"/>
    <w:unhideWhenUsed/>
    <w:pPr>
      <w:ind w:left="1134"/>
      <w:spacing w:after="57"/>
    </w:pPr>
  </w:style>
  <w:style w:type="paragraph" w:styleId="828">
    <w:name w:val="toc 6"/>
    <w:basedOn w:val="653"/>
    <w:next w:val="653"/>
    <w:uiPriority w:val="39"/>
    <w:unhideWhenUsed/>
    <w:pPr>
      <w:ind w:left="1417"/>
      <w:spacing w:after="57"/>
    </w:pPr>
  </w:style>
  <w:style w:type="paragraph" w:styleId="829">
    <w:name w:val="toc 7"/>
    <w:basedOn w:val="653"/>
    <w:next w:val="653"/>
    <w:uiPriority w:val="39"/>
    <w:unhideWhenUsed/>
    <w:pPr>
      <w:ind w:left="1701"/>
      <w:spacing w:after="57"/>
    </w:pPr>
  </w:style>
  <w:style w:type="paragraph" w:styleId="830">
    <w:name w:val="toc 8"/>
    <w:basedOn w:val="653"/>
    <w:next w:val="653"/>
    <w:uiPriority w:val="39"/>
    <w:unhideWhenUsed/>
    <w:pPr>
      <w:ind w:left="1984"/>
      <w:spacing w:after="57"/>
    </w:pPr>
  </w:style>
  <w:style w:type="paragraph" w:styleId="831">
    <w:name w:val="toc 9"/>
    <w:basedOn w:val="653"/>
    <w:next w:val="653"/>
    <w:uiPriority w:val="39"/>
    <w:unhideWhenUsed/>
    <w:pPr>
      <w:ind w:left="2268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653"/>
    <w:next w:val="653"/>
    <w:uiPriority w:val="99"/>
    <w:unhideWhenUsed/>
    <w:pPr>
      <w:spacing w:after="0"/>
    </w:pPr>
  </w:style>
  <w:style w:type="character" w:styleId="834">
    <w:name w:val="Hyperlink"/>
    <w:basedOn w:val="663"/>
    <w:uiPriority w:val="99"/>
    <w:unhideWhenUsed/>
    <w:rPr>
      <w:color w:val="0000ff" w:themeColor="hyperlink"/>
      <w:u w:val="single"/>
    </w:rPr>
  </w:style>
  <w:style w:type="paragraph" w:styleId="835" w:customStyle="1">
    <w:name w:val="Standard (user)"/>
    <w:pPr>
      <w:spacing w:after="160" w:line="259" w:lineRule="auto"/>
    </w:pPr>
    <w:rPr>
      <w:rFonts w:ascii="Calibri" w:hAnsi="Calibri" w:eastAsia="Calibri" w:cs="F"/>
    </w:rPr>
  </w:style>
  <w:style w:type="paragraph" w:styleId="836">
    <w:name w:val="Normal (Web)"/>
    <w:basedOn w:val="653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37">
    <w:name w:val="FollowedHyperlink"/>
    <w:basedOn w:val="663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hyperlink" Target="https://nspd.gov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revision>23</cp:revision>
  <dcterms:created xsi:type="dcterms:W3CDTF">2023-05-22T07:50:00Z</dcterms:created>
  <dcterms:modified xsi:type="dcterms:W3CDTF">2025-08-28T07:02:45Z</dcterms:modified>
</cp:coreProperties>
</file>