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spacing w:after="0" w:line="240" w:lineRule="auto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Segoe UI" w:hAnsi="Segoe UI" w:cs="Segoe UI" w:eastAsiaTheme="minorEastAsia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sz w:val="28"/>
          <w:szCs w:val="28"/>
          <w:lang w:eastAsia="sk-SK"/>
        </w:rPr>
      </w:r>
      <w:r>
        <w:rPr>
          <w:rFonts w:ascii="Segoe UI" w:hAnsi="Segoe UI" w:cs="Segoe UI" w:eastAsiaTheme="minorEastAsia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  <w:r>
        <w:rPr>
          <w:rFonts w:ascii="Segoe UI" w:hAnsi="Segoe UI" w:cs="Segoe UI" w:eastAsiaTheme="minorEastAsia"/>
          <w:b/>
          <w:sz w:val="28"/>
          <w:szCs w:val="28"/>
          <w:lang w:eastAsia="sk-SK"/>
        </w:rPr>
      </w:r>
    </w:p>
    <w:p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</w:r>
      <w:r>
        <w:rPr>
          <w:rFonts w:ascii="Segoe UI" w:hAnsi="Segoe UI" w:cs="Segoe UI"/>
          <w:b/>
          <w:sz w:val="24"/>
          <w:szCs w:val="24"/>
        </w:rPr>
      </w:r>
    </w:p>
    <w:p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11 многоквартирных домов поставлено на кадастровый учет в Свердловской области в марте </w:t>
      </w:r>
      <w:r>
        <w:rPr>
          <w:rFonts w:ascii="Segoe UI" w:hAnsi="Segoe UI" w:cs="Segoe UI"/>
          <w:b/>
          <w:sz w:val="24"/>
          <w:szCs w:val="24"/>
        </w:rPr>
      </w:r>
    </w:p>
    <w:p>
      <w:pPr>
        <w:ind w:firstLine="708"/>
        <w:jc w:val="both"/>
        <w:spacing w:line="240" w:lineRule="auto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Свердловской области в марте </w:t>
      </w:r>
      <w:r>
        <w:rPr>
          <w:rFonts w:ascii="Segoe UI" w:hAnsi="Segoe UI" w:cs="Segoe UI"/>
          <w:sz w:val="24"/>
          <w:szCs w:val="24"/>
        </w:rPr>
        <w:t xml:space="preserve">в </w:t>
      </w:r>
      <w:r>
        <w:rPr>
          <w:rFonts w:ascii="Segoe UI" w:hAnsi="Segoe UI" w:cs="Segoe UI"/>
          <w:sz w:val="24"/>
          <w:szCs w:val="24"/>
        </w:rPr>
        <w:t xml:space="preserve">Единый государственный реестр недвижимости</w:t>
      </w:r>
      <w:r>
        <w:rPr>
          <w:rFonts w:ascii="Segoe UI" w:hAnsi="Segoe UI" w:cs="Segoe UI"/>
          <w:sz w:val="24"/>
          <w:szCs w:val="24"/>
        </w:rPr>
        <w:t xml:space="preserve"> внесено </w:t>
      </w:r>
      <w:r>
        <w:rPr>
          <w:rFonts w:ascii="Segoe UI" w:hAnsi="Segoe UI" w:cs="Segoe UI"/>
          <w:sz w:val="24"/>
          <w:szCs w:val="24"/>
        </w:rPr>
        <w:t xml:space="preserve">11 многоквартирных домов. Об этом сообщает Управление Росреестра по Свердловской области.</w:t>
      </w:r>
      <w:r>
        <w:rPr>
          <w:rFonts w:ascii="Segoe UI" w:hAnsi="Segoe UI" w:cs="Segoe UI"/>
          <w:i/>
          <w:sz w:val="24"/>
          <w:szCs w:val="24"/>
        </w:rPr>
        <w:t xml:space="preserve"> </w:t>
      </w:r>
      <w:r>
        <w:rPr>
          <w:rFonts w:ascii="Segoe UI" w:hAnsi="Segoe UI" w:cs="Segoe UI"/>
          <w:i/>
          <w:sz w:val="24"/>
          <w:szCs w:val="24"/>
        </w:rPr>
      </w:r>
    </w:p>
    <w:p>
      <w:pPr>
        <w:ind w:firstLine="708"/>
        <w:jc w:val="both"/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 xml:space="preserve">«</w:t>
      </w:r>
      <w:r>
        <w:rPr>
          <w:rFonts w:ascii="Segoe UI" w:hAnsi="Segoe UI" w:cs="Segoe UI"/>
          <w:i/>
          <w:sz w:val="24"/>
          <w:szCs w:val="24"/>
        </w:rPr>
        <w:t xml:space="preserve">Общая площадь зданий, </w:t>
      </w:r>
      <w:r>
        <w:rPr>
          <w:rFonts w:ascii="Segoe UI" w:hAnsi="Segoe UI" w:cs="Segoe UI"/>
          <w:i/>
          <w:sz w:val="24"/>
          <w:szCs w:val="24"/>
        </w:rPr>
        <w:t xml:space="preserve">поставленных на кадастровый учё</w:t>
      </w:r>
      <w:r>
        <w:rPr>
          <w:rFonts w:ascii="Segoe UI" w:hAnsi="Segoe UI" w:cs="Segoe UI"/>
          <w:i/>
          <w:sz w:val="24"/>
          <w:szCs w:val="24"/>
        </w:rPr>
        <w:t xml:space="preserve">т, составила </w:t>
      </w:r>
      <w:r>
        <w:rPr>
          <w:rFonts w:ascii="Segoe UI" w:hAnsi="Segoe UI" w:cs="Segoe UI"/>
          <w:i/>
          <w:sz w:val="24"/>
          <w:szCs w:val="24"/>
        </w:rPr>
        <w:t xml:space="preserve">288</w:t>
      </w:r>
      <w:r>
        <w:rPr>
          <w:rFonts w:ascii="Segoe UI" w:hAnsi="Segoe UI" w:cs="Segoe UI"/>
          <w:i/>
          <w:sz w:val="24"/>
          <w:szCs w:val="24"/>
        </w:rPr>
        <w:t xml:space="preserve"> </w:t>
      </w:r>
      <w:r>
        <w:rPr>
          <w:rFonts w:ascii="Segoe UI" w:hAnsi="Segoe UI" w:cs="Segoe UI"/>
          <w:i/>
          <w:sz w:val="24"/>
          <w:szCs w:val="24"/>
        </w:rPr>
        <w:t xml:space="preserve">тысяч квадратных метров</w:t>
      </w:r>
      <w:r>
        <w:rPr>
          <w:rFonts w:ascii="Segoe UI" w:hAnsi="Segoe UI" w:cs="Segoe UI"/>
          <w:i/>
          <w:sz w:val="24"/>
          <w:szCs w:val="24"/>
        </w:rPr>
        <w:t xml:space="preserve">. </w:t>
      </w:r>
      <w:r>
        <w:rPr>
          <w:rFonts w:ascii="Segoe UI" w:hAnsi="Segoe UI" w:cs="Segoe UI"/>
          <w:i/>
          <w:sz w:val="24"/>
          <w:szCs w:val="24"/>
        </w:rPr>
        <w:t xml:space="preserve">Все</w:t>
      </w:r>
      <w:r>
        <w:rPr>
          <w:rFonts w:ascii="Segoe UI" w:hAnsi="Segoe UI" w:cs="Segoe UI"/>
          <w:i/>
          <w:sz w:val="24"/>
          <w:szCs w:val="24"/>
        </w:rPr>
        <w:t xml:space="preserve"> дом</w:t>
      </w:r>
      <w:r>
        <w:rPr>
          <w:rFonts w:ascii="Segoe UI" w:hAnsi="Segoe UI" w:cs="Segoe UI"/>
          <w:i/>
          <w:sz w:val="24"/>
          <w:szCs w:val="24"/>
        </w:rPr>
        <w:t xml:space="preserve">а находятся в Екатеринбурге. После постановки на кадастровый учет многоквартирных домов и передачи застройщиком объекта недвижимости по переда</w:t>
      </w:r>
      <w:r>
        <w:rPr>
          <w:rFonts w:ascii="Segoe UI" w:hAnsi="Segoe UI" w:cs="Segoe UI"/>
          <w:i/>
          <w:sz w:val="24"/>
          <w:szCs w:val="24"/>
        </w:rPr>
        <w:t xml:space="preserve">точному акту, необходимо зарегистрировать право собственности на построенный объект недвижимости (квартиру, нежилое помещение, машино-место), так как государственная регистрация прав - единственное доказательство существования зарегистрированного права», -</w:t>
      </w:r>
      <w:r>
        <w:rPr>
          <w:rFonts w:ascii="Segoe UI" w:hAnsi="Segoe UI" w:cs="Segoe UI"/>
          <w:sz w:val="24"/>
          <w:szCs w:val="24"/>
        </w:rPr>
        <w:t xml:space="preserve"> сообщил руководитель Управления </w:t>
      </w:r>
      <w:r>
        <w:rPr>
          <w:rFonts w:ascii="Segoe UI" w:hAnsi="Segoe UI" w:cs="Segoe UI"/>
          <w:b/>
          <w:sz w:val="24"/>
          <w:szCs w:val="24"/>
        </w:rPr>
        <w:t xml:space="preserve">Игорь Цыганаш</w:t>
      </w:r>
      <w:r>
        <w:rPr>
          <w:rFonts w:ascii="Segoe UI" w:hAnsi="Segoe UI" w:cs="Segoe UI"/>
          <w:sz w:val="24"/>
          <w:szCs w:val="24"/>
        </w:rPr>
        <w:t xml:space="preserve">.  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 </w:t>
      </w:r>
      <w:r>
        <w:rPr>
          <w:rFonts w:ascii="Segoe UI" w:hAnsi="Segoe UI" w:cs="Segoe UI"/>
          <w:b/>
          <w:sz w:val="24"/>
          <w:szCs w:val="24"/>
        </w:rPr>
        <w:t xml:space="preserve">1 марта 2025</w:t>
      </w:r>
      <w:r>
        <w:rPr>
          <w:rFonts w:ascii="Segoe UI" w:hAnsi="Segoe UI" w:cs="Segoe UI"/>
          <w:sz w:val="24"/>
          <w:szCs w:val="24"/>
        </w:rPr>
        <w:t xml:space="preserve"> года вступил в силу Федеральный закон от 26.12.2024 № 487-ФЗ «О внесении изменений в отдельные законодательные акты Российской Фед</w:t>
      </w:r>
      <w:r>
        <w:rPr>
          <w:rFonts w:ascii="Segoe UI" w:hAnsi="Segoe UI" w:cs="Segoe UI"/>
          <w:sz w:val="24"/>
          <w:szCs w:val="24"/>
        </w:rPr>
        <w:t xml:space="preserve">ерации», который обязал застройщиков после подписания передаточного акта самостоятельно направлять в Росреестр заявления и документы для регистрации права собственности участника долевого строительства исключительно в электронной форме. В марте количество </w:t>
      </w:r>
      <w:r>
        <w:rPr>
          <w:rFonts w:ascii="Segoe UI" w:hAnsi="Segoe UI" w:cs="Segoe UI"/>
          <w:sz w:val="24"/>
          <w:szCs w:val="24"/>
        </w:rPr>
        <w:t xml:space="preserve">таких </w:t>
      </w:r>
      <w:r>
        <w:rPr>
          <w:rFonts w:ascii="Segoe UI" w:hAnsi="Segoe UI" w:cs="Segoe UI"/>
          <w:sz w:val="24"/>
          <w:szCs w:val="24"/>
        </w:rPr>
        <w:t xml:space="preserve">зарегистрированных прав собственности граждан на жилые помещения составило 5 153.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 xml:space="preserve"> «</w:t>
      </w:r>
      <w:r>
        <w:rPr>
          <w:rFonts w:ascii="Segoe UI" w:hAnsi="Segoe UI" w:cs="Segoe UI"/>
          <w:i/>
          <w:iCs/>
          <w:sz w:val="24"/>
          <w:szCs w:val="24"/>
        </w:rPr>
        <w:t xml:space="preserve">Новая норма закона значительно упростит жизнь граждан, избавив их от необходимости собирать дополнительные документы и обращаться в МФЦ для регистрации своих прав</w:t>
      </w:r>
      <w:r>
        <w:rPr>
          <w:rFonts w:ascii="Segoe UI" w:hAnsi="Segoe UI" w:cs="Segoe UI"/>
          <w:i/>
          <w:sz w:val="24"/>
          <w:szCs w:val="24"/>
        </w:rPr>
        <w:t xml:space="preserve">», - </w:t>
      </w:r>
      <w:r>
        <w:rPr>
          <w:rFonts w:ascii="Segoe UI" w:hAnsi="Segoe UI" w:cs="Segoe UI"/>
          <w:sz w:val="24"/>
          <w:szCs w:val="24"/>
        </w:rPr>
        <w:t xml:space="preserve">сообщил</w:t>
      </w:r>
      <w:r>
        <w:rPr>
          <w:rFonts w:ascii="Segoe UI" w:hAnsi="Segoe UI" w:cs="Segoe UI"/>
          <w:i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председатель Общественного совета при Управлении Росреестра по Свердловской области, председатель совета директоров АО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СЗ «РСГ-Академическое»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 xml:space="preserve">Виктор Киселев</w:t>
      </w:r>
      <w:r>
        <w:rPr>
          <w:rFonts w:ascii="Segoe UI" w:hAnsi="Segoe UI" w:cs="Segoe UI"/>
          <w:sz w:val="24"/>
          <w:szCs w:val="24"/>
        </w:rPr>
        <w:t xml:space="preserve">.</w:t>
      </w:r>
      <w:r>
        <w:rPr>
          <w:rFonts w:ascii="Segoe UI" w:hAnsi="Segoe UI" w:cs="Segoe UI"/>
          <w:sz w:val="24"/>
          <w:szCs w:val="24"/>
        </w:rPr>
      </w:r>
    </w:p>
    <w:p>
      <w:pPr>
        <w:jc w:val="both"/>
        <w:spacing w:after="0" w:line="240" w:lineRule="auto"/>
        <w:rPr>
          <w:rFonts w:ascii="Segoe UI" w:hAnsi="Segoe UI" w:cs="Segoe UI" w:eastAsiaTheme="minorEastAsia"/>
          <w:sz w:val="24"/>
          <w:szCs w:val="24"/>
          <w:lang w:eastAsia="ru-RU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89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margin;mso-position-horizontal:right;mso-position-vertical-relative:text;margin-top:5.3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cs="Segoe UI" w:eastAsiaTheme="minorEastAsia"/>
          <w:sz w:val="24"/>
          <w:szCs w:val="24"/>
          <w:lang w:eastAsia="ru-RU"/>
        </w:rPr>
      </w:r>
    </w:p>
    <w:p>
      <w:pPr>
        <w:jc w:val="right"/>
        <w:spacing w:line="240" w:lineRule="auto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r>
      <w:r>
        <w:rPr>
          <w:rFonts w:ascii="Segoe UI" w:hAnsi="Segoe UI" w:cs="Segoe UI" w:eastAsiaTheme="minorEastAsia"/>
          <w:b/>
          <w:bCs/>
          <w:sz w:val="24"/>
          <w:szCs w:val="24"/>
          <w:lang w:eastAsia="ru-RU"/>
        </w:rPr>
        <w:t xml:space="preserve">Талицкий отдел Управления Росреестра по Свердловской области</w:t>
      </w:r>
      <w:r/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r>
    </w:p>
    <w:p>
      <w:pPr>
        <w:jc w:val="both"/>
        <w:spacing w:line="240" w:lineRule="auto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r>
    </w:p>
    <w:p>
      <w:pPr>
        <w:jc w:val="both"/>
        <w:spacing w:line="240" w:lineRule="auto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r>
    </w:p>
    <w:p>
      <w:pPr>
        <w:jc w:val="both"/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4"/>
    <w:link w:val="42"/>
    <w:uiPriority w:val="99"/>
  </w:style>
  <w:style w:type="paragraph" w:styleId="44">
    <w:name w:val="Footer"/>
    <w:basedOn w:val="65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4"/>
    <w:link w:val="44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character" w:styleId="179">
    <w:name w:val="Endnote Text Char"/>
    <w:link w:val="667"/>
    <w:uiPriority w:val="99"/>
    <w:rPr>
      <w:sz w:val="20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>
    <w:name w:val="Balloon Text"/>
    <w:basedOn w:val="653"/>
    <w:link w:val="65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58" w:customStyle="1">
    <w:name w:val="Текст выноски Знак"/>
    <w:basedOn w:val="654"/>
    <w:link w:val="657"/>
    <w:uiPriority w:val="99"/>
    <w:semiHidden/>
    <w:rPr>
      <w:rFonts w:ascii="Segoe UI" w:hAnsi="Segoe UI" w:cs="Segoe UI"/>
      <w:sz w:val="18"/>
      <w:szCs w:val="18"/>
    </w:rPr>
  </w:style>
  <w:style w:type="character" w:styleId="659">
    <w:name w:val="Hyperlink"/>
    <w:basedOn w:val="654"/>
    <w:uiPriority w:val="99"/>
    <w:unhideWhenUsed/>
    <w:rPr>
      <w:color w:val="0563c1" w:themeColor="hyperlink"/>
      <w:u w:val="single"/>
    </w:rPr>
  </w:style>
  <w:style w:type="character" w:styleId="660" w:customStyle="1">
    <w:name w:val="Неразрешенное упоминание1"/>
    <w:basedOn w:val="654"/>
    <w:uiPriority w:val="99"/>
    <w:semiHidden/>
    <w:unhideWhenUsed/>
    <w:rPr>
      <w:color w:val="605e5c"/>
      <w:shd w:val="clear" w:color="auto" w:fill="e1dfdd"/>
    </w:rPr>
  </w:style>
  <w:style w:type="paragraph" w:styleId="661">
    <w:name w:val="List Paragraph"/>
    <w:basedOn w:val="653"/>
    <w:uiPriority w:val="34"/>
    <w:qFormat/>
    <w:pPr>
      <w:contextualSpacing/>
      <w:ind w:left="720"/>
    </w:pPr>
  </w:style>
  <w:style w:type="character" w:styleId="662">
    <w:name w:val="annotation reference"/>
    <w:basedOn w:val="654"/>
    <w:uiPriority w:val="99"/>
    <w:semiHidden/>
    <w:unhideWhenUsed/>
    <w:rPr>
      <w:sz w:val="16"/>
      <w:szCs w:val="16"/>
    </w:rPr>
  </w:style>
  <w:style w:type="paragraph" w:styleId="663">
    <w:name w:val="annotation text"/>
    <w:basedOn w:val="653"/>
    <w:link w:val="66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4" w:customStyle="1">
    <w:name w:val="Текст примечания Знак"/>
    <w:basedOn w:val="654"/>
    <w:link w:val="663"/>
    <w:uiPriority w:val="99"/>
    <w:semiHidden/>
    <w:rPr>
      <w:sz w:val="20"/>
      <w:szCs w:val="20"/>
    </w:rPr>
  </w:style>
  <w:style w:type="paragraph" w:styleId="665">
    <w:name w:val="annotation subject"/>
    <w:basedOn w:val="663"/>
    <w:next w:val="663"/>
    <w:link w:val="666"/>
    <w:uiPriority w:val="99"/>
    <w:semiHidden/>
    <w:unhideWhenUsed/>
    <w:rPr>
      <w:b/>
      <w:bCs/>
    </w:rPr>
  </w:style>
  <w:style w:type="character" w:styleId="666" w:customStyle="1">
    <w:name w:val="Тема примечания Знак"/>
    <w:basedOn w:val="664"/>
    <w:link w:val="665"/>
    <w:uiPriority w:val="99"/>
    <w:semiHidden/>
    <w:rPr>
      <w:b/>
      <w:bCs/>
      <w:sz w:val="20"/>
      <w:szCs w:val="20"/>
    </w:rPr>
  </w:style>
  <w:style w:type="paragraph" w:styleId="667">
    <w:name w:val="endnote text"/>
    <w:basedOn w:val="653"/>
    <w:link w:val="66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8" w:customStyle="1">
    <w:name w:val="Текст концевой сноски Знак"/>
    <w:basedOn w:val="654"/>
    <w:link w:val="667"/>
    <w:uiPriority w:val="99"/>
    <w:semiHidden/>
    <w:rPr>
      <w:sz w:val="20"/>
      <w:szCs w:val="20"/>
    </w:rPr>
  </w:style>
  <w:style w:type="character" w:styleId="669">
    <w:name w:val="endnote reference"/>
    <w:basedOn w:val="654"/>
    <w:uiPriority w:val="99"/>
    <w:semiHidden/>
    <w:unhideWhenUsed/>
    <w:rPr>
      <w:vertAlign w:val="superscript"/>
    </w:rPr>
  </w:style>
  <w:style w:type="character" w:styleId="670">
    <w:name w:val="FollowedHyperlink"/>
    <w:basedOn w:val="654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A89A1-3771-40AF-A51A-F7588027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revision>16</cp:revision>
  <dcterms:created xsi:type="dcterms:W3CDTF">2025-03-18T09:48:00Z</dcterms:created>
  <dcterms:modified xsi:type="dcterms:W3CDTF">2025-04-28T08:48:34Z</dcterms:modified>
</cp:coreProperties>
</file>