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firstLine="708"/>
        <w:jc w:val="center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-304799</wp:posOffset>
                </wp:positionV>
                <wp:extent cx="2692400" cy="98107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/>
          <w:sz w:val="28"/>
          <w:szCs w:val="28"/>
          <w:lang w:eastAsia="sk-SK"/>
        </w:rPr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pStyle w:val="616"/>
        <w:ind w:firstLine="708"/>
        <w:jc w:val="right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rFonts w:ascii="Segoe UI" w:hAnsi="Segoe UI" w:cs="Segoe UI"/>
          <w:sz w:val="28"/>
          <w:szCs w:val="28"/>
          <w:lang w:eastAsia="sk-SK"/>
        </w:rPr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pStyle w:val="616"/>
        <w:jc w:val="right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/>
          <w:b/>
          <w:sz w:val="24"/>
        </w:rPr>
      </w:r>
      <w:r>
        <w:rPr>
          <w:rFonts w:ascii="Segoe UI" w:hAnsi="Segoe UI" w:cs="Segoe UI"/>
          <w:b/>
          <w:sz w:val="24"/>
        </w:rPr>
      </w:r>
    </w:p>
    <w:p>
      <w:pPr>
        <w:pStyle w:val="617"/>
        <w:jc w:val="center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 xml:space="preserve">И</w:t>
      </w:r>
      <w:r>
        <w:rPr>
          <w:rFonts w:ascii="Segoe UI" w:hAnsi="Segoe UI" w:cs="Segoe UI"/>
          <w:sz w:val="28"/>
          <w:szCs w:val="24"/>
        </w:rPr>
        <w:t xml:space="preserve">спользовани</w:t>
      </w:r>
      <w:r>
        <w:rPr>
          <w:rFonts w:ascii="Segoe UI" w:hAnsi="Segoe UI" w:cs="Segoe UI"/>
          <w:sz w:val="28"/>
          <w:szCs w:val="24"/>
        </w:rPr>
        <w:t xml:space="preserve">е</w:t>
      </w:r>
      <w:r>
        <w:rPr>
          <w:rFonts w:ascii="Segoe UI" w:hAnsi="Segoe UI" w:cs="Segoe UI"/>
          <w:sz w:val="28"/>
          <w:szCs w:val="24"/>
        </w:rPr>
        <w:t xml:space="preserve"> сетей дифференциальных геодезических станций</w:t>
      </w:r>
      <w:r>
        <w:rPr>
          <w:rFonts w:ascii="Segoe UI" w:hAnsi="Segoe UI" w:cs="Segoe UI"/>
          <w:sz w:val="28"/>
          <w:szCs w:val="24"/>
        </w:rPr>
      </w:r>
    </w:p>
    <w:p>
      <w:pPr>
        <w:pStyle w:val="623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Управление Росреестра по Свердловской области информирует лиц, имеющих лицензию на вид работ по созданию геодезических сетей специального назначения, в том числе сетей дифференциальных геодезических станций</w:t>
      </w:r>
      <w:r>
        <w:rPr>
          <w:rFonts w:ascii="Segoe UI" w:hAnsi="Segoe UI" w:cs="Segoe UI"/>
        </w:rPr>
        <w:t xml:space="preserve">, что </w:t>
      </w:r>
      <w:r>
        <w:rPr>
          <w:rFonts w:ascii="Segoe UI" w:hAnsi="Segoe UI" w:cs="Segoe UI"/>
        </w:rPr>
        <w:t xml:space="preserve">согласно </w:t>
      </w:r>
      <w:r>
        <w:rPr>
          <w:rFonts w:ascii="Segoe UI" w:hAnsi="Segoe UI" w:cs="Segoe UI"/>
        </w:rPr>
        <w:t xml:space="preserve">с</w:t>
      </w:r>
      <w:r>
        <w:rPr>
          <w:rFonts w:ascii="Segoe UI" w:hAnsi="Segoe UI" w:cs="Segoe UI"/>
        </w:rPr>
        <w:t xml:space="preserve">т</w:t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  <w:t xml:space="preserve"> 9 Закона № 431-ФЗ для обеспечения выполнения геодезических работ при осуществлении градостроительной и кадастровой деятельности, землеустройства, недропользования, иной деятельности, а также повышения точности рез</w:t>
      </w:r>
      <w:r>
        <w:rPr>
          <w:rFonts w:ascii="Segoe UI" w:hAnsi="Segoe UI" w:cs="Segoe UI"/>
        </w:rPr>
        <w:t xml:space="preserve">ультатов указанных работ ф</w:t>
      </w:r>
      <w:r>
        <w:rPr>
          <w:rFonts w:ascii="Segoe UI" w:hAnsi="Segoe UI" w:cs="Segoe UI"/>
        </w:rPr>
        <w:t xml:space="preserve">изические и юридические лица, органы государственной власти и органы местного самоуправления вправе организовывать создание геодезических сетей специального назначения (далее – ГССН), в том числе сетей дифференциальных геодезических станций (далее – ДГС). </w:t>
      </w:r>
      <w:r>
        <w:rPr>
          <w:rFonts w:ascii="Segoe UI" w:hAnsi="Segoe UI" w:cs="Segoe UI"/>
        </w:rPr>
      </w:r>
    </w:p>
    <w:p>
      <w:pPr>
        <w:pStyle w:val="616"/>
        <w:ind w:firstLine="851"/>
        <w:jc w:val="both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Лица, осуществляющие создание ГССН (за исключением лиц, осуществляющих создание таких сетей для обеспечения выполнения геодезических работ при градостроительной деятельности), по завершени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 создания о</w:t>
      </w:r>
      <w:r>
        <w:rPr>
          <w:rFonts w:ascii="Segoe UI" w:hAnsi="Segoe UI" w:cs="Segoe UI"/>
          <w:sz w:val="24"/>
          <w:szCs w:val="24"/>
        </w:rPr>
        <w:t xml:space="preserve">бязаны составить отчет о ГССН</w:t>
      </w:r>
      <w:r>
        <w:rPr>
          <w:rFonts w:ascii="Segoe UI" w:hAnsi="Segoe UI" w:cs="Segoe UI"/>
          <w:sz w:val="24"/>
          <w:szCs w:val="24"/>
        </w:rPr>
        <w:t xml:space="preserve">, а также </w:t>
      </w:r>
      <w:r>
        <w:rPr>
          <w:rFonts w:ascii="Segoe UI" w:hAnsi="Segoe UI" w:cs="Segoe UI"/>
          <w:sz w:val="24"/>
          <w:szCs w:val="24"/>
        </w:rPr>
        <w:t xml:space="preserve">каталог координат геоде</w:t>
      </w:r>
      <w:r>
        <w:rPr>
          <w:rFonts w:ascii="Segoe UI" w:hAnsi="Segoe UI" w:cs="Segoe UI"/>
          <w:sz w:val="24"/>
          <w:szCs w:val="24"/>
        </w:rPr>
        <w:t xml:space="preserve">зических пунктов указанной сети и </w:t>
      </w:r>
      <w:r>
        <w:rPr>
          <w:rFonts w:ascii="Segoe UI" w:hAnsi="Segoe UI" w:cs="Segoe UI"/>
          <w:sz w:val="24"/>
          <w:szCs w:val="24"/>
        </w:rPr>
        <w:t xml:space="preserve">передать </w:t>
      </w:r>
      <w:r>
        <w:rPr>
          <w:rFonts w:ascii="Segoe UI" w:hAnsi="Segoe UI" w:cs="Segoe UI"/>
          <w:sz w:val="24"/>
          <w:szCs w:val="24"/>
        </w:rPr>
        <w:t xml:space="preserve">их</w:t>
      </w:r>
      <w:r>
        <w:rPr>
          <w:rFonts w:ascii="Segoe UI" w:hAnsi="Segoe UI" w:cs="Segoe UI"/>
          <w:sz w:val="24"/>
          <w:szCs w:val="24"/>
        </w:rPr>
        <w:t xml:space="preserve"> в федеральный фонд пространственных данных </w:t>
      </w:r>
      <w:r>
        <w:rPr>
          <w:rFonts w:ascii="Segoe UI" w:hAnsi="Segoe UI" w:cs="Segoe UI"/>
          <w:sz w:val="24"/>
          <w:szCs w:val="24"/>
        </w:rPr>
        <w:t xml:space="preserve">(далее – ФФПД) </w:t>
      </w:r>
      <w:r>
        <w:rPr>
          <w:rFonts w:ascii="Segoe UI" w:hAnsi="Segoe UI" w:cs="Segoe UI"/>
          <w:sz w:val="24"/>
          <w:szCs w:val="24"/>
        </w:rPr>
        <w:t xml:space="preserve">или фонд пространственных данных федеральног</w:t>
      </w:r>
      <w:r>
        <w:rPr>
          <w:rFonts w:ascii="Segoe UI" w:hAnsi="Segoe UI" w:cs="Segoe UI"/>
          <w:sz w:val="24"/>
          <w:szCs w:val="24"/>
        </w:rPr>
        <w:t xml:space="preserve">о органа исполнительной власти.</w:t>
      </w:r>
      <w:r>
        <w:rPr>
          <w:rFonts w:ascii="Segoe UI" w:hAnsi="Segoe UI" w:cs="Segoe UI"/>
          <w:sz w:val="24"/>
          <w:szCs w:val="24"/>
        </w:rPr>
      </w:r>
    </w:p>
    <w:p>
      <w:pPr>
        <w:pStyle w:val="616"/>
        <w:ind w:firstLine="851"/>
        <w:jc w:val="both"/>
        <w:spacing w:before="100" w:beforeAutospacing="1" w:after="100" w:afterAutospacing="1" w:line="240" w:lineRule="auto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«Публично-правовая компания «Роскадастр» проводит экспертизу таких отчетов и каталогов</w:t>
      </w:r>
      <w:r>
        <w:rPr>
          <w:rFonts w:ascii="Segoe UI" w:hAnsi="Segoe UI" w:cs="Segoe UI"/>
          <w:i/>
          <w:iCs/>
          <w:sz w:val="24"/>
          <w:szCs w:val="24"/>
        </w:rPr>
        <w:t xml:space="preserve"> на их соответствие установленным на основании Закона № 431-ФЗ требованиям в порядке, предусмотренном ч. 10 ст. 9 Закона № 431-ФЗ. Отчет о создании геодезических сетей специального назначения и каталог координат г</w:t>
      </w:r>
      <w:r>
        <w:rPr>
          <w:rFonts w:ascii="Segoe UI" w:hAnsi="Segoe UI" w:cs="Segoe UI"/>
          <w:i/>
          <w:iCs/>
          <w:sz w:val="24"/>
          <w:szCs w:val="24"/>
        </w:rPr>
        <w:t xml:space="preserve">еодезических пунктов указанной сети включается </w:t>
      </w:r>
      <w:r>
        <w:rPr>
          <w:rFonts w:ascii="Segoe UI" w:hAnsi="Segoe UI" w:cs="Segoe UI"/>
          <w:i/>
          <w:iCs/>
          <w:sz w:val="24"/>
          <w:szCs w:val="24"/>
        </w:rPr>
        <w:t xml:space="preserve">в </w:t>
      </w:r>
      <w:r>
        <w:rPr>
          <w:rFonts w:ascii="Segoe UI" w:hAnsi="Segoe UI" w:cs="Segoe UI"/>
          <w:i/>
          <w:iCs/>
          <w:sz w:val="24"/>
          <w:szCs w:val="24"/>
        </w:rPr>
        <w:t xml:space="preserve">федеральный фонд пространственных данных при наличии положительного заключения указанной экспертизы», </w:t>
      </w:r>
      <w:r>
        <w:rPr>
          <w:rFonts w:ascii="Segoe UI" w:hAnsi="Segoe UI" w:cs="Segoe UI"/>
          <w:sz w:val="24"/>
          <w:szCs w:val="24"/>
        </w:rPr>
        <w:t xml:space="preserve">- подчеркнул заместитель директора филиала публично-правовой компании «Роскадастр» по Уральскому федеральному округу </w:t>
      </w:r>
      <w:r>
        <w:rPr>
          <w:rFonts w:ascii="Segoe UI" w:hAnsi="Segoe UI" w:cs="Segoe UI"/>
          <w:b/>
          <w:bCs/>
          <w:sz w:val="24"/>
          <w:szCs w:val="24"/>
        </w:rPr>
        <w:t xml:space="preserve">Юрий Белоусов.</w:t>
      </w:r>
      <w:r>
        <w:rPr>
          <w:rFonts w:ascii="Segoe UI" w:hAnsi="Segoe UI" w:cs="Segoe UI"/>
          <w:i/>
          <w:iCs/>
          <w:sz w:val="24"/>
          <w:szCs w:val="24"/>
        </w:rPr>
      </w:r>
      <w:r>
        <w:rPr>
          <w:rFonts w:ascii="Segoe UI" w:hAnsi="Segoe UI" w:cs="Segoe UI"/>
          <w:i/>
          <w:iCs/>
          <w:sz w:val="24"/>
          <w:szCs w:val="24"/>
        </w:rPr>
      </w:r>
    </w:p>
    <w:p>
      <w:pPr>
        <w:pStyle w:val="616"/>
        <w:ind w:firstLine="851"/>
        <w:jc w:val="both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 xml:space="preserve">Согласно ч</w:t>
      </w:r>
      <w:r>
        <w:rPr>
          <w:rFonts w:ascii="Segoe UI" w:hAnsi="Segoe UI" w:cs="Segoe UI"/>
          <w:sz w:val="24"/>
          <w:szCs w:val="24"/>
          <w:u w:val="single"/>
        </w:rPr>
        <w:t xml:space="preserve">.</w:t>
      </w:r>
      <w:r>
        <w:rPr>
          <w:rFonts w:ascii="Segoe UI" w:hAnsi="Segoe UI" w:cs="Segoe UI"/>
          <w:sz w:val="24"/>
          <w:szCs w:val="24"/>
          <w:u w:val="single"/>
        </w:rPr>
        <w:t xml:space="preserve"> 8 ст</w:t>
      </w:r>
      <w:r>
        <w:rPr>
          <w:rFonts w:ascii="Segoe UI" w:hAnsi="Segoe UI" w:cs="Segoe UI"/>
          <w:sz w:val="24"/>
          <w:szCs w:val="24"/>
          <w:u w:val="single"/>
        </w:rPr>
        <w:t xml:space="preserve">. 9 Закона № 431-ФЗ:</w:t>
      </w:r>
      <w:r>
        <w:rPr>
          <w:rFonts w:ascii="Segoe UI" w:hAnsi="Segoe UI" w:cs="Segoe UI"/>
          <w:sz w:val="24"/>
          <w:szCs w:val="24"/>
          <w:u w:val="single"/>
        </w:rPr>
      </w:r>
    </w:p>
    <w:p>
      <w:pPr>
        <w:pStyle w:val="616"/>
        <w:ind w:firstLine="851"/>
        <w:jc w:val="both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исп</w:t>
      </w:r>
      <w:r>
        <w:rPr>
          <w:rFonts w:ascii="Segoe UI" w:hAnsi="Segoe UI" w:cs="Segoe UI"/>
          <w:sz w:val="24"/>
          <w:szCs w:val="24"/>
        </w:rPr>
        <w:t xml:space="preserve">ользование ГССН (</w:t>
      </w:r>
      <w:r>
        <w:rPr>
          <w:rFonts w:ascii="Segoe UI" w:hAnsi="Segoe UI" w:cs="Segoe UI"/>
          <w:sz w:val="24"/>
          <w:szCs w:val="24"/>
        </w:rPr>
        <w:t xml:space="preserve">за исключением ГССН, создание которой организовано фе</w:t>
      </w:r>
      <w:r>
        <w:rPr>
          <w:rFonts w:ascii="Segoe UI" w:hAnsi="Segoe UI" w:cs="Segoe UI"/>
          <w:sz w:val="24"/>
          <w:szCs w:val="24"/>
        </w:rPr>
        <w:t xml:space="preserve">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или ГССН, создаваемой для обеспечения выполнения геодезических работ при осуществлении</w:t>
      </w:r>
      <w:r>
        <w:rPr>
          <w:rFonts w:ascii="Segoe UI" w:hAnsi="Segoe UI" w:cs="Segoe UI"/>
          <w:sz w:val="24"/>
          <w:szCs w:val="24"/>
        </w:rPr>
        <w:t xml:space="preserve"> градостроительной деятельности),</w:t>
      </w:r>
      <w:r>
        <w:rPr>
          <w:rFonts w:ascii="Segoe UI" w:hAnsi="Segoe UI" w:cs="Segoe UI"/>
          <w:sz w:val="24"/>
          <w:szCs w:val="24"/>
        </w:rPr>
        <w:t xml:space="preserve"> допускается после передачи отчета о создании ГССН и каталога координат геодезических</w:t>
      </w:r>
      <w:r>
        <w:rPr>
          <w:rFonts w:ascii="Segoe UI" w:hAnsi="Segoe UI" w:cs="Segoe UI"/>
          <w:sz w:val="24"/>
          <w:szCs w:val="24"/>
        </w:rPr>
        <w:t xml:space="preserve"> пунктов указанной сети в ФФПД;</w:t>
      </w:r>
      <w:r>
        <w:rPr>
          <w:rFonts w:ascii="Segoe UI" w:hAnsi="Segoe UI" w:cs="Segoe UI"/>
          <w:sz w:val="24"/>
          <w:szCs w:val="24"/>
        </w:rPr>
      </w:r>
    </w:p>
    <w:p>
      <w:pPr>
        <w:pStyle w:val="616"/>
        <w:ind w:firstLine="851"/>
        <w:jc w:val="both"/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использование ДГС (</w:t>
      </w:r>
      <w:r>
        <w:rPr>
          <w:rFonts w:ascii="Segoe UI" w:hAnsi="Segoe UI" w:cs="Segoe UI"/>
          <w:sz w:val="24"/>
          <w:szCs w:val="24"/>
        </w:rPr>
        <w:t xml:space="preserve">за исключением ГССН, создание ко</w:t>
      </w:r>
      <w:r>
        <w:rPr>
          <w:rFonts w:ascii="Segoe UI" w:hAnsi="Segoe UI" w:cs="Segoe UI"/>
          <w:sz w:val="24"/>
          <w:szCs w:val="24"/>
        </w:rPr>
        <w:t xml:space="preserve">торой организовано федеральным органом исполнительной власти, осуществляющим функции по выработке и реализации государственной политики, нормативно-правовому </w:t>
      </w:r>
      <w:r>
        <w:rPr>
          <w:rFonts w:ascii="Segoe UI" w:hAnsi="Segoe UI" w:cs="Segoe UI"/>
          <w:sz w:val="24"/>
          <w:szCs w:val="24"/>
        </w:rPr>
        <w:t xml:space="preserve">регулированию в области обороны),</w:t>
      </w:r>
      <w:r>
        <w:rPr>
          <w:rFonts w:ascii="Segoe UI" w:hAnsi="Segoe UI" w:cs="Segoe UI"/>
          <w:sz w:val="24"/>
          <w:szCs w:val="24"/>
        </w:rPr>
        <w:t xml:space="preserve"> допускается только после их включения в </w:t>
      </w:r>
      <w:bookmarkStart w:id="0" w:name="_Hlk194398425"/>
      <w:r>
        <w:rPr>
          <w:rFonts w:ascii="Segoe UI" w:hAnsi="Segoe UI" w:cs="Segoe UI"/>
          <w:sz w:val="24"/>
          <w:szCs w:val="24"/>
        </w:rPr>
        <w:t xml:space="preserve">федеральную сеть геодезических станций </w:t>
      </w:r>
      <w:bookmarkEnd w:id="0"/>
      <w:r>
        <w:rPr>
          <w:rFonts w:ascii="Segoe UI" w:hAnsi="Segoe UI" w:cs="Segoe UI"/>
          <w:sz w:val="24"/>
          <w:szCs w:val="24"/>
        </w:rPr>
        <w:t xml:space="preserve">(далее – ФСГС). </w:t>
      </w:r>
      <w:r>
        <w:rPr>
          <w:rFonts w:ascii="Segoe UI" w:hAnsi="Segoe UI" w:cs="Segoe UI"/>
          <w:sz w:val="24"/>
          <w:szCs w:val="24"/>
        </w:rPr>
      </w:r>
    </w:p>
    <w:p>
      <w:pPr>
        <w:pStyle w:val="616"/>
        <w:ind w:firstLine="851"/>
        <w:jc w:val="both"/>
        <w:spacing w:before="100" w:beforeAutospacing="1" w:after="100" w:afterAutospacing="1" w:line="24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В целях повышения точности измерений, проводимых при выполнении геодезических и картографических работ, обеспечиваются создание, функционирование и развитие </w:t>
      </w:r>
      <w:r>
        <w:rPr>
          <w:rFonts w:ascii="Segoe UI" w:hAnsi="Segoe UI" w:cs="Segoe UI"/>
          <w:i/>
          <w:iCs/>
          <w:sz w:val="24"/>
          <w:szCs w:val="24"/>
        </w:rPr>
        <w:t xml:space="preserve">федеральн</w:t>
      </w:r>
      <w:r>
        <w:rPr>
          <w:rFonts w:ascii="Segoe UI" w:hAnsi="Segoe UI" w:cs="Segoe UI"/>
          <w:i/>
          <w:iCs/>
          <w:sz w:val="24"/>
          <w:szCs w:val="24"/>
        </w:rPr>
        <w:t xml:space="preserve">ой</w:t>
      </w:r>
      <w:r>
        <w:rPr>
          <w:rFonts w:ascii="Segoe UI" w:hAnsi="Segoe UI" w:cs="Segoe UI"/>
          <w:i/>
          <w:iCs/>
          <w:sz w:val="24"/>
          <w:szCs w:val="24"/>
        </w:rPr>
        <w:t xml:space="preserve"> сет</w:t>
      </w:r>
      <w:r>
        <w:rPr>
          <w:rFonts w:ascii="Segoe UI" w:hAnsi="Segoe UI" w:cs="Segoe UI"/>
          <w:i/>
          <w:iCs/>
          <w:sz w:val="24"/>
          <w:szCs w:val="24"/>
        </w:rPr>
        <w:t xml:space="preserve">и</w:t>
      </w:r>
      <w:r>
        <w:rPr>
          <w:rFonts w:ascii="Segoe UI" w:hAnsi="Segoe UI" w:cs="Segoe UI"/>
          <w:i/>
          <w:iCs/>
          <w:sz w:val="24"/>
          <w:szCs w:val="24"/>
        </w:rPr>
        <w:t xml:space="preserve"> геодезических станций</w:t>
      </w:r>
      <w:r>
        <w:rPr>
          <w:rFonts w:ascii="Segoe UI" w:hAnsi="Segoe UI" w:cs="Segoe UI"/>
          <w:i/>
          <w:iCs/>
          <w:sz w:val="24"/>
          <w:szCs w:val="24"/>
        </w:rPr>
        <w:t xml:space="preserve">, </w:t>
      </w:r>
      <w:r>
        <w:rPr>
          <w:rFonts w:ascii="Segoe UI" w:hAnsi="Segoe UI" w:cs="Segoe UI"/>
          <w:i/>
          <w:iCs/>
          <w:sz w:val="24"/>
          <w:szCs w:val="24"/>
        </w:rPr>
        <w:t xml:space="preserve">являющейся совокупностью ф</w:t>
      </w:r>
      <w:r>
        <w:rPr>
          <w:rFonts w:ascii="Segoe UI" w:hAnsi="Segoe UI" w:cs="Segoe UI"/>
          <w:i/>
          <w:iCs/>
          <w:sz w:val="24"/>
          <w:szCs w:val="24"/>
        </w:rPr>
        <w:t xml:space="preserve">ункционально объединенных </w:t>
      </w:r>
      <w:r>
        <w:rPr>
          <w:rFonts w:ascii="Segoe UI" w:hAnsi="Segoe UI" w:cs="Segoe UI"/>
          <w:i/>
          <w:iCs/>
          <w:sz w:val="24"/>
          <w:szCs w:val="24"/>
        </w:rPr>
        <w:t xml:space="preserve">дифференциальных геодезических станций</w:t>
      </w:r>
      <w:r>
        <w:rPr>
          <w:rFonts w:ascii="Segoe UI" w:hAnsi="Segoe UI" w:cs="Segoe UI"/>
          <w:i/>
          <w:iCs/>
          <w:sz w:val="24"/>
          <w:szCs w:val="24"/>
        </w:rPr>
        <w:t xml:space="preserve">, на которых выполняется постоянный прием сигналов спутниковых навигационных систем с передачей получаемой информации в государственную информационную систему </w:t>
      </w:r>
      <w:r>
        <w:rPr>
          <w:rFonts w:ascii="Segoe UI" w:hAnsi="Segoe UI" w:cs="Segoe UI"/>
          <w:i/>
          <w:iCs/>
          <w:sz w:val="24"/>
          <w:szCs w:val="24"/>
        </w:rPr>
        <w:t xml:space="preserve">федеральн</w:t>
      </w:r>
      <w:r>
        <w:rPr>
          <w:rFonts w:ascii="Segoe UI" w:hAnsi="Segoe UI" w:cs="Segoe UI"/>
          <w:i/>
          <w:iCs/>
          <w:sz w:val="24"/>
          <w:szCs w:val="24"/>
        </w:rPr>
        <w:t xml:space="preserve">ой</w:t>
      </w:r>
      <w:r>
        <w:rPr>
          <w:rFonts w:ascii="Segoe UI" w:hAnsi="Segoe UI" w:cs="Segoe UI"/>
          <w:i/>
          <w:iCs/>
          <w:sz w:val="24"/>
          <w:szCs w:val="24"/>
        </w:rPr>
        <w:t xml:space="preserve"> сет</w:t>
      </w:r>
      <w:r>
        <w:rPr>
          <w:rFonts w:ascii="Segoe UI" w:hAnsi="Segoe UI" w:cs="Segoe UI"/>
          <w:i/>
          <w:iCs/>
          <w:sz w:val="24"/>
          <w:szCs w:val="24"/>
        </w:rPr>
        <w:t xml:space="preserve">и</w:t>
      </w:r>
      <w:r>
        <w:rPr>
          <w:rFonts w:ascii="Segoe UI" w:hAnsi="Segoe UI" w:cs="Segoe UI"/>
          <w:i/>
          <w:iCs/>
          <w:sz w:val="24"/>
          <w:szCs w:val="24"/>
        </w:rPr>
        <w:t xml:space="preserve"> геодезических станций</w:t>
      </w:r>
      <w:r>
        <w:rPr>
          <w:rFonts w:ascii="Segoe UI" w:hAnsi="Segoe UI" w:cs="Segoe UI"/>
          <w:i/>
          <w:iCs/>
          <w:sz w:val="24"/>
          <w:szCs w:val="24"/>
        </w:rPr>
        <w:t xml:space="preserve">»,</w:t>
      </w:r>
      <w:r>
        <w:rPr>
          <w:rFonts w:ascii="Segoe UI" w:hAnsi="Segoe UI" w:cs="Segoe UI"/>
          <w:sz w:val="24"/>
          <w:szCs w:val="24"/>
        </w:rPr>
        <w:t xml:space="preserve"> - сообщила заместитель руководителя Управления </w:t>
      </w:r>
      <w:r>
        <w:rPr>
          <w:rFonts w:ascii="Segoe UI" w:hAnsi="Segoe UI" w:cs="Segoe UI"/>
          <w:b/>
          <w:sz w:val="24"/>
          <w:szCs w:val="24"/>
        </w:rPr>
        <w:t xml:space="preserve">Татьяна Янтюшева. </w:t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23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Н</w:t>
      </w:r>
      <w:r>
        <w:rPr>
          <w:rFonts w:ascii="Segoe UI" w:hAnsi="Segoe UI" w:cs="Segoe UI"/>
        </w:rPr>
        <w:t xml:space="preserve">а территории Свердловской области </w:t>
      </w:r>
      <w:r>
        <w:rPr>
          <w:rFonts w:ascii="Segoe UI" w:hAnsi="Segoe UI" w:cs="Segoe UI"/>
        </w:rPr>
        <w:t xml:space="preserve">функционируют </w:t>
      </w:r>
      <w:r>
        <w:rPr>
          <w:rFonts w:ascii="Segoe UI" w:hAnsi="Segoe UI" w:cs="Segoe UI"/>
        </w:rPr>
        <w:t xml:space="preserve">5</w:t>
      </w:r>
      <w:r>
        <w:rPr>
          <w:rFonts w:ascii="Segoe UI" w:hAnsi="Segoe UI" w:cs="Segoe UI"/>
        </w:rPr>
        <w:t xml:space="preserve">4 дифференциальных геодезических станции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(</w:t>
      </w:r>
      <w:r>
        <w:rPr>
          <w:rFonts w:ascii="Segoe UI" w:hAnsi="Segoe UI" w:cs="Segoe UI"/>
        </w:rPr>
        <w:t xml:space="preserve">52</w:t>
      </w:r>
      <w:r>
        <w:rPr>
          <w:rFonts w:ascii="Segoe UI" w:hAnsi="Segoe UI" w:cs="Segoe UI"/>
        </w:rPr>
        <w:t xml:space="preserve"> станци</w:t>
      </w:r>
      <w:r>
        <w:rPr>
          <w:rFonts w:ascii="Segoe UI" w:hAnsi="Segoe UI" w:cs="Segoe UI"/>
        </w:rPr>
        <w:t xml:space="preserve">и</w:t>
      </w:r>
      <w:r>
        <w:rPr>
          <w:rFonts w:ascii="Segoe UI" w:hAnsi="Segoe UI" w:cs="Segoe UI"/>
        </w:rPr>
        <w:t xml:space="preserve"> частных операторов, </w:t>
      </w:r>
      <w:r>
        <w:rPr>
          <w:rFonts w:ascii="Segoe UI" w:hAnsi="Segoe UI" w:cs="Segoe UI"/>
        </w:rPr>
        <w:t xml:space="preserve">1</w:t>
      </w:r>
      <w:r>
        <w:rPr>
          <w:rFonts w:ascii="Segoe UI" w:hAnsi="Segoe UI" w:cs="Segoe UI"/>
        </w:rPr>
        <w:t xml:space="preserve"> станци</w:t>
      </w:r>
      <w:r>
        <w:rPr>
          <w:rFonts w:ascii="Segoe UI" w:hAnsi="Segoe UI" w:cs="Segoe UI"/>
        </w:rPr>
        <w:t xml:space="preserve">я</w:t>
      </w:r>
      <w:r>
        <w:rPr>
          <w:rFonts w:ascii="Segoe UI" w:hAnsi="Segoe UI" w:cs="Segoe UI"/>
        </w:rPr>
        <w:t xml:space="preserve"> ППК «Роскадастр», 1 международная станция</w:t>
      </w:r>
      <w:r>
        <w:rPr>
          <w:rFonts w:ascii="Segoe UI" w:hAnsi="Segoe UI" w:cs="Segoe UI"/>
        </w:rPr>
        <w:t xml:space="preserve">)</w:t>
      </w:r>
      <w:r>
        <w:rPr>
          <w:rFonts w:ascii="Segoe UI" w:hAnsi="Segoe UI" w:cs="Segoe UI"/>
        </w:rPr>
        <w:t xml:space="preserve">, включенные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в ФСГС</w:t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23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Напомним, </w:t>
      </w:r>
      <w:r>
        <w:rPr>
          <w:rFonts w:ascii="Segoe UI" w:hAnsi="Segoe UI" w:cs="Segoe UI"/>
        </w:rPr>
        <w:t xml:space="preserve">и</w:t>
      </w:r>
      <w:r>
        <w:rPr>
          <w:rFonts w:ascii="Segoe UI" w:hAnsi="Segoe UI" w:cs="Segoe UI"/>
        </w:rPr>
        <w:t xml:space="preserve">нформация </w:t>
      </w:r>
      <w:r>
        <w:rPr>
          <w:rFonts w:ascii="Segoe UI" w:hAnsi="Segoe UI" w:cs="Segoe UI"/>
        </w:rPr>
        <w:t xml:space="preserve">о </w:t>
      </w:r>
      <w:r>
        <w:rPr>
          <w:rFonts w:ascii="Segoe UI" w:hAnsi="Segoe UI" w:cs="Segoe UI"/>
        </w:rPr>
        <w:t xml:space="preserve">станциях размещена на официальном с</w:t>
      </w:r>
      <w:r>
        <w:rPr>
          <w:rFonts w:ascii="Segoe UI" w:hAnsi="Segoe UI" w:cs="Segoe UI"/>
        </w:rPr>
        <w:t xml:space="preserve">айте ППК «Роскадастр» (</w:t>
      </w: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 xml:space="preserve">HYPERLINK "https://kadastr.ru/services/svedeniya-ob-operatorakh-differentsialnykh-geodezicheskikh-stantsiy-/"</w:instrText>
      </w:r>
      <w:r>
        <w:rPr>
          <w:rFonts w:ascii="Segoe UI" w:hAnsi="Segoe UI" w:cs="Segoe UI"/>
        </w:rPr>
        <w:fldChar w:fldCharType="separate"/>
      </w:r>
      <w:r>
        <w:rPr>
          <w:rStyle w:val="622"/>
          <w:rFonts w:ascii="Segoe UI" w:hAnsi="Segoe UI" w:cs="Segoe UI"/>
        </w:rPr>
        <w:t xml:space="preserve">https://kadastr.ru/services/svedeniya-ob-operatorakh-diff</w:t>
      </w:r>
      <w:bookmarkStart w:id="1" w:name="_Hlt193896615"/>
      <w:r>
        <w:rPr>
          <w:rStyle w:val="622"/>
          <w:rFonts w:ascii="Segoe UI" w:hAnsi="Segoe UI" w:cs="Segoe UI"/>
        </w:rPr>
        <w:t xml:space="preserve">e</w:t>
      </w:r>
      <w:bookmarkEnd w:id="1"/>
      <w:r>
        <w:rPr>
          <w:rStyle w:val="622"/>
          <w:rFonts w:ascii="Segoe UI" w:hAnsi="Segoe UI" w:cs="Segoe UI"/>
        </w:rPr>
        <w:t xml:space="preserve">rentsialnykh-geodezicheskikh-stantsiy-/</w:t>
      </w:r>
      <w:r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).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16"/>
        <w:jc w:val="both"/>
        <w:spacing w:line="256" w:lineRule="auto"/>
        <w:rPr>
          <w:rFonts w:ascii="Segoe UI" w:hAnsi="Segoe UI" w:cs="Segoe UI"/>
          <w:b/>
          <w:sz w:val="18"/>
          <w:szCs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58241" behindDoc="0" locked="0" layoutInCell="1" allowOverlap="1">
                <wp:simplePos x="0" y="0"/>
                <wp:positionH relativeFrom="margin">
                  <wp:posOffset>-69849</wp:posOffset>
                </wp:positionH>
                <wp:positionV relativeFrom="paragraph">
                  <wp:posOffset>122555</wp:posOffset>
                </wp:positionV>
                <wp:extent cx="6000750" cy="0"/>
                <wp:effectExtent l="0" t="0" r="0" b="0"/>
                <wp:wrapNone/>
                <wp:docPr id="2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41;o:allowoverlap:true;o:allowincell:true;mso-position-horizontal-relative:margin;margin-left:-5.50pt;mso-position-horizontal:absolute;mso-position-vertical-relative:text;margin-top:9.65pt;mso-position-vertical:absolute;width:472.50pt;height:0.00pt;mso-wrap-distance-left:9.00pt;mso-wrap-distance-top:0.00pt;mso-wrap-distance-right:9.00pt;mso-wrap-distance-bottom:-169093.20pt;visibility:visible;" path="m0,0l0,100000l100000,100000l100000,0xe" coordsize="100000,100000" fillcolor="#FFFFFF" strokecolor="#0070C0" strokeweight="1.25pt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</w:r>
      <w:r>
        <w:rPr>
          <w:rFonts w:ascii="Segoe UI" w:hAnsi="Segoe UI" w:cs="Segoe UI"/>
          <w:b/>
          <w:sz w:val="18"/>
          <w:szCs w:val="18"/>
        </w:rPr>
      </w:r>
    </w:p>
    <w:p>
      <w:pPr>
        <w:jc w:val="right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17">
    <w:name w:val="Заголовок 1"/>
    <w:basedOn w:val="616"/>
    <w:next w:val="617"/>
    <w:link w:val="62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618">
    <w:name w:val="Основной шрифт абзаца"/>
    <w:next w:val="618"/>
    <w:link w:val="616"/>
    <w:uiPriority w:val="1"/>
    <w:semiHidden/>
    <w:unhideWhenUsed/>
  </w:style>
  <w:style w:type="table" w:styleId="619">
    <w:name w:val="Обычная таблица"/>
    <w:next w:val="619"/>
    <w:link w:val="616"/>
    <w:uiPriority w:val="99"/>
    <w:semiHidden/>
    <w:unhideWhenUsed/>
    <w:qFormat/>
    <w:tblPr/>
  </w:style>
  <w:style w:type="numbering" w:styleId="620">
    <w:name w:val="Нет списка"/>
    <w:next w:val="620"/>
    <w:link w:val="616"/>
    <w:uiPriority w:val="99"/>
    <w:semiHidden/>
    <w:unhideWhenUsed/>
  </w:style>
  <w:style w:type="character" w:styleId="621">
    <w:name w:val="Заголовок 1 Знак"/>
    <w:next w:val="621"/>
    <w:link w:val="617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622">
    <w:name w:val="Гиперссылка"/>
    <w:next w:val="622"/>
    <w:link w:val="616"/>
    <w:uiPriority w:val="99"/>
    <w:semiHidden/>
    <w:unhideWhenUsed/>
    <w:rPr>
      <w:color w:val="0000ff"/>
      <w:u w:val="single"/>
    </w:rPr>
  </w:style>
  <w:style w:type="paragraph" w:styleId="623">
    <w:name w:val="Обычный (веб)"/>
    <w:basedOn w:val="616"/>
    <w:next w:val="623"/>
    <w:link w:val="61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4">
    <w:name w:val="Строгий"/>
    <w:next w:val="624"/>
    <w:link w:val="616"/>
    <w:uiPriority w:val="22"/>
    <w:qFormat/>
    <w:rPr>
      <w:b/>
      <w:bCs/>
    </w:rPr>
  </w:style>
  <w:style w:type="paragraph" w:styleId="625">
    <w:name w:val="Текст выноски"/>
    <w:basedOn w:val="616"/>
    <w:next w:val="625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>
    <w:name w:val="Текст выноски Знак"/>
    <w:next w:val="626"/>
    <w:link w:val="625"/>
    <w:uiPriority w:val="99"/>
    <w:semiHidden/>
    <w:rPr>
      <w:rFonts w:ascii="Tahoma" w:hAnsi="Tahoma" w:cs="Tahoma"/>
      <w:sz w:val="16"/>
      <w:szCs w:val="16"/>
    </w:rPr>
  </w:style>
  <w:style w:type="character" w:styleId="627">
    <w:name w:val="Просмотренная гиперссылка"/>
    <w:next w:val="627"/>
    <w:link w:val="616"/>
    <w:uiPriority w:val="99"/>
    <w:semiHidden/>
    <w:unhideWhenUsed/>
    <w:rPr>
      <w:color w:val="954f72"/>
      <w:u w:val="single"/>
    </w:rPr>
  </w:style>
  <w:style w:type="paragraph" w:styleId="628">
    <w:name w:val="Текст сноски"/>
    <w:basedOn w:val="616"/>
    <w:next w:val="628"/>
    <w:link w:val="629"/>
    <w:uiPriority w:val="99"/>
    <w:semiHidden/>
    <w:unhideWhenUsed/>
    <w:rPr>
      <w:sz w:val="20"/>
      <w:szCs w:val="20"/>
    </w:rPr>
  </w:style>
  <w:style w:type="character" w:styleId="629">
    <w:name w:val="Текст сноски Знак"/>
    <w:basedOn w:val="618"/>
    <w:next w:val="629"/>
    <w:link w:val="628"/>
    <w:uiPriority w:val="99"/>
    <w:semiHidden/>
  </w:style>
  <w:style w:type="character" w:styleId="630">
    <w:name w:val="Знак сноски"/>
    <w:next w:val="630"/>
    <w:link w:val="616"/>
    <w:uiPriority w:val="99"/>
    <w:semiHidden/>
    <w:unhideWhenUsed/>
    <w:rPr>
      <w:vertAlign w:val="superscript"/>
    </w:rPr>
  </w:style>
  <w:style w:type="paragraph" w:styleId="631">
    <w:name w:val="ConsPlusNonformat"/>
    <w:next w:val="631"/>
    <w:link w:val="61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ШарлаимоваОК</dc:creator>
  <cp:revision>5</cp:revision>
  <dcterms:created xsi:type="dcterms:W3CDTF">2025-04-01T06:14:00Z</dcterms:created>
  <dcterms:modified xsi:type="dcterms:W3CDTF">2025-04-17T03:51:11Z</dcterms:modified>
  <cp:version>1048576</cp:version>
</cp:coreProperties>
</file>