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ListParagraph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</w:r>
      <w:bookmarkStart w:id="0" w:name="_GoBack"/>
      <w:bookmarkStart w:id="1" w:name="_GoBack"/>
      <w:bookmarkEnd w:id="1"/>
    </w:p>
    <w:p>
      <w:pPr>
        <w:pStyle w:val="ListParagraph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  <w:t>Более 28 тысяч реестровых ошибок исправлено в Свердловской области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В Свердловской области активно ведется работа по исправлению реестровых ошибок в сведениях Единого государственного реестра недвижимости (ЕГРН). Об этом сообщает Управление Росреестра по Свердловской области.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За 10 месяцев текущего года специалисты Управления Росреестра по Свердловской области исправили 28 138 реестровых ошибок. </w:t>
      </w:r>
    </w:p>
    <w:p>
      <w:pPr>
        <w:pStyle w:val="Normal"/>
        <w:ind w:firstLine="708"/>
        <w:jc w:val="both"/>
        <w:rPr>
          <w:rFonts w:ascii="Segoe UI" w:hAnsi="Segoe UI" w:cs="Segoe UI"/>
          <w:i/>
          <w:i/>
          <w:sz w:val="24"/>
        </w:rPr>
      </w:pPr>
      <w:r>
        <w:rPr>
          <w:rFonts w:cs="Segoe UI" w:ascii="Segoe UI" w:hAnsi="Segoe UI"/>
          <w:sz w:val="24"/>
        </w:rPr>
        <w:t>Важно отметить, что работа проводится в рамках кадастровых кварталов: сначала выбирается квартал с выявленными ошибками, а затем проверяются все объекты, расположенные в этом квартале.</w:t>
      </w:r>
      <w:r>
        <w:rPr>
          <w:rFonts w:cs="Segoe UI" w:ascii="Segoe UI" w:hAnsi="Segoe UI"/>
          <w:i/>
          <w:sz w:val="24"/>
        </w:rPr>
        <w:t xml:space="preserve"> 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«Реестровая ошибка – это наличие в отношении объекта недвижимости недостоверных сведений, отраженных в ЕГРН. Простыми словами, это когда ошибка была перенесена из документов, ранее представленных заинтересованными лицами»</w:t>
      </w:r>
      <w:r>
        <w:rPr>
          <w:rFonts w:cs="Segoe UI" w:ascii="Segoe UI" w:hAnsi="Segoe UI"/>
          <w:sz w:val="24"/>
        </w:rPr>
        <w:t xml:space="preserve">, - подчеркнула заместитель руководителя </w:t>
      </w:r>
      <w:r>
        <w:rPr>
          <w:rFonts w:cs="Segoe UI" w:ascii="Segoe UI" w:hAnsi="Segoe UI"/>
          <w:b/>
          <w:sz w:val="24"/>
        </w:rPr>
        <w:t>Татьяна Янтюшева</w:t>
      </w:r>
      <w:r>
        <w:rPr>
          <w:rFonts w:cs="Segoe UI" w:ascii="Segoe UI" w:hAnsi="Segoe UI"/>
          <w:sz w:val="24"/>
        </w:rPr>
        <w:t>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В большинстве случаев реестровые ошибки возникают в межевом или техническом плане, акте обследования.  Чаще всего такие ошибки возникают из-за погрешностей, допущенных лицом, проводившим кадастровые работы или из-за наличия ошибок в документах, которые были представлены в Росреестр.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Работы по исправлению таких ошибок в сведениях ЕГРН о местоположении границ земельных участков проводятся совместно с филиалом публично-правовой компании "Роскадастр" по Уральскому федеральному округу.</w:t>
      </w:r>
    </w:p>
    <w:p>
      <w:pPr>
        <w:pStyle w:val="Normal"/>
        <w:ind w:firstLine="708"/>
        <w:jc w:val="both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i/>
          <w:sz w:val="24"/>
        </w:rPr>
        <w:t>«Наиболее частой реестровой ошибкой является ошибка в определении координат характерных точек границ земельного участка, которая приводит к его смещению относительно реального расположения на местности и наложению на другие земельные участки»,</w:t>
      </w:r>
      <w:r>
        <w:rPr>
          <w:rFonts w:cs="Segoe UI" w:ascii="Segoe UI" w:hAnsi="Segoe UI"/>
          <w:sz w:val="24"/>
        </w:rPr>
        <w:t xml:space="preserve"> – сказал заместитель директора филиала ППК «Роскадастр» по УФО </w:t>
      </w:r>
      <w:r>
        <w:rPr>
          <w:rFonts w:cs="Segoe UI" w:ascii="Segoe UI" w:hAnsi="Segoe UI"/>
          <w:b/>
          <w:sz w:val="24"/>
        </w:rPr>
        <w:t>Юрий Белоусов.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Напомним, исправление исторически накопленных ошибок в ЕГРН – одна из ключевых задач Росреестра в рамках госпрограммы «Национальная система пространственных данных».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1" allowOverlap="1" relativeHeight="2" wp14:anchorId="641DED4C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7.65pt;margin-top:9.15pt;width:472.45pt;height:0pt;mso-wrap-style:none;v-text-anchor:middle" wp14:anchorId="641DED4C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" w:cs="Segoe UI" w:eastAsiaTheme="minorEastAsia"/>
          <w:b/>
          <w:sz w:val="18"/>
          <w:szCs w:val="1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8"/>
          <w:szCs w:val="28"/>
        </w:rPr>
      </w:pPr>
      <w:r>
        <w:rPr>
          <w:rFonts w:eastAsia="" w:cs="Segoe UI" w:ascii="Segoe UI" w:hAnsi="Segoe UI" w:eastAsiaTheme="minorEastAsia"/>
          <w:b/>
          <w:bCs/>
          <w:sz w:val="28"/>
          <w:szCs w:val="28"/>
          <w:lang w:eastAsia="ru-RU"/>
        </w:rPr>
        <w:t>Талицкий отдел</w:t>
      </w:r>
      <w:r>
        <w:rPr>
          <w:rFonts w:eastAsia="" w:cs="Segoe UI" w:ascii="Segoe UI" w:hAnsi="Segoe UI" w:eastAsiaTheme="minorEastAsia"/>
          <w:b/>
          <w:bCs/>
          <w:sz w:val="28"/>
          <w:szCs w:val="28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cs="Segoe UI"/>
          <w:b/>
          <w:bCs/>
          <w:sz w:val="28"/>
          <w:szCs w:val="28"/>
        </w:rPr>
      </w:pPr>
      <w:r>
        <w:rPr>
          <w:rFonts w:cs="Segoe UI" w:ascii="Segoe UI" w:hAnsi="Segoe UI"/>
          <w:b/>
          <w:bCs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2136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213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f7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1</Pages>
  <Words>233</Words>
  <Characters>1673</Characters>
  <CharactersWithSpaces>1902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2024-11-05T07:08:00Z</dcterms:created>
  <dc:creator>Грибкова Ксения Максимовна</dc:creator>
  <dc:description/>
  <dc:language>ru-RU</dc:language>
  <cp:lastModifiedBy/>
  <cp:lastPrinted>2024-11-05T10:35:00Z</cp:lastPrinted>
  <dcterms:modified xsi:type="dcterms:W3CDTF">2024-11-12T11:51:13Z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