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9B" w:rsidRDefault="00410D9B">
      <w:r w:rsidRPr="00410D9B">
        <w:rPr>
          <w:noProof/>
          <w:lang w:eastAsia="ru-RU"/>
        </w:rPr>
        <w:drawing>
          <wp:inline distT="0" distB="0" distL="0" distR="0">
            <wp:extent cx="4072271" cy="1988288"/>
            <wp:effectExtent l="19050" t="0" r="4429" b="0"/>
            <wp:docPr id="7" name="Рисунок 7" descr="https://bisert.midural.ru/uploads/2024/08/20240802-15175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ert.midural.ru/uploads/2024/08/20240802-151751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03" cy="198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</w:pPr>
      <w:r w:rsidRPr="00410D9B"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  <w:t>А</w:t>
      </w:r>
      <w:r w:rsidRPr="002F6A30"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  <w:t xml:space="preserve">дминистрация </w:t>
      </w:r>
      <w:proofErr w:type="spellStart"/>
      <w:r w:rsidRPr="00410D9B"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  <w:t>Тугулымского</w:t>
      </w:r>
      <w:proofErr w:type="spellEnd"/>
      <w:r w:rsidRPr="00410D9B"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  <w:t xml:space="preserve"> </w:t>
      </w:r>
      <w:r w:rsidRPr="002F6A30"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  <w:t>городского округа </w:t>
      </w:r>
      <w:r w:rsidRPr="00410D9B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 xml:space="preserve">извещает о проведении </w:t>
      </w:r>
      <w:r w:rsidR="00D540BE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 xml:space="preserve">муниципального </w:t>
      </w:r>
      <w:r w:rsidRPr="00410D9B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 xml:space="preserve">конкурсного отбора проектов инициативного </w:t>
      </w:r>
      <w:proofErr w:type="spellStart"/>
      <w:r w:rsidRPr="00410D9B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бюджетирования</w:t>
      </w:r>
      <w:proofErr w:type="spellEnd"/>
      <w:r w:rsidRPr="00410D9B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 xml:space="preserve"> на 2025 год</w:t>
      </w:r>
      <w:r w:rsidRPr="002F6A30">
        <w:rPr>
          <w:rFonts w:ascii="Arial" w:eastAsia="Times New Roman" w:hAnsi="Arial" w:cs="Arial"/>
          <w:b/>
          <w:color w:val="252525"/>
          <w:sz w:val="23"/>
          <w:szCs w:val="23"/>
          <w:lang w:eastAsia="ru-RU"/>
        </w:rPr>
        <w:t>.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Заявки на участие в отборе проектов инициативного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бюджетирования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направляются в администрацию </w:t>
      </w:r>
      <w:proofErr w:type="spellStart"/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Тугулымского</w:t>
      </w:r>
      <w:proofErr w:type="spellEnd"/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городского округа по адресу: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пгт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Тугулым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пл. 50 лет Октября ,1, кабинет 411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;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График: понедельник - четверг с 8.00 до17.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00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пятница с 8.00 до16.00,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обед 12.00-13.00.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тел. (343</w:t>
      </w:r>
      <w:r w:rsid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67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) </w:t>
      </w:r>
      <w:r w:rsid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22-3-46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эл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почта: </w:t>
      </w:r>
      <w:proofErr w:type="spellStart"/>
      <w:r w:rsidR="0064720A">
        <w:rPr>
          <w:rFonts w:ascii="Arial" w:eastAsia="Times New Roman" w:hAnsi="Arial" w:cs="Arial"/>
          <w:color w:val="252525"/>
          <w:sz w:val="23"/>
          <w:szCs w:val="23"/>
          <w:lang w:val="en-US" w:eastAsia="ru-RU"/>
        </w:rPr>
        <w:t>serkowa</w:t>
      </w:r>
      <w:proofErr w:type="spellEnd"/>
      <w:r w:rsidR="0064720A" w:rsidRP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r w:rsidR="0064720A">
        <w:rPr>
          <w:rFonts w:ascii="Arial" w:eastAsia="Times New Roman" w:hAnsi="Arial" w:cs="Arial"/>
          <w:color w:val="252525"/>
          <w:sz w:val="23"/>
          <w:szCs w:val="23"/>
          <w:lang w:val="en-US" w:eastAsia="ru-RU"/>
        </w:rPr>
        <w:t>n</w:t>
      </w:r>
      <w:r w:rsidR="0064720A" w:rsidRP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@</w:t>
      </w:r>
      <w:proofErr w:type="spellStart"/>
      <w:r w:rsidR="0064720A">
        <w:rPr>
          <w:rFonts w:ascii="Arial" w:eastAsia="Times New Roman" w:hAnsi="Arial" w:cs="Arial"/>
          <w:color w:val="252525"/>
          <w:sz w:val="23"/>
          <w:szCs w:val="23"/>
          <w:lang w:val="en-US" w:eastAsia="ru-RU"/>
        </w:rPr>
        <w:t>yandex</w:t>
      </w:r>
      <w:proofErr w:type="spellEnd"/>
      <w:r w:rsidR="0064720A" w:rsidRP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proofErr w:type="spellStart"/>
      <w:r w:rsidR="0064720A">
        <w:rPr>
          <w:rFonts w:ascii="Arial" w:eastAsia="Times New Roman" w:hAnsi="Arial" w:cs="Arial"/>
          <w:color w:val="252525"/>
          <w:sz w:val="23"/>
          <w:szCs w:val="23"/>
          <w:lang w:val="en-US" w:eastAsia="ru-RU"/>
        </w:rPr>
        <w:t>ru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Контактное лицо: </w:t>
      </w:r>
      <w:proofErr w:type="spellStart"/>
      <w:r w:rsidR="0064720A" w:rsidRP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Серкова</w:t>
      </w:r>
      <w:proofErr w:type="spellEnd"/>
      <w:r w:rsidR="0064720A" w:rsidRP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Надежда Александровна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r w:rsidR="0064720A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начальник отдела  экономики и инвестиций  администрации ТГО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410D9B" w:rsidRPr="002F6A30" w:rsidRDefault="00410D9B" w:rsidP="00410D9B">
      <w:pPr>
        <w:spacing w:after="0" w:line="240" w:lineRule="auto"/>
        <w:ind w:firstLine="600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Дата начала приема заявок – 1</w:t>
      </w:r>
      <w:r w:rsidR="00105C70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5</w:t>
      </w:r>
      <w:r w:rsidR="0064720A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 xml:space="preserve"> </w:t>
      </w:r>
      <w:r w:rsidRPr="002F6A30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августа 2024 года.</w:t>
      </w:r>
    </w:p>
    <w:p w:rsidR="00410D9B" w:rsidRPr="002F6A30" w:rsidRDefault="00410D9B" w:rsidP="00410D9B">
      <w:pPr>
        <w:spacing w:after="0" w:line="240" w:lineRule="auto"/>
        <w:ind w:firstLine="600"/>
        <w:jc w:val="center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Дата окончания приема заявок – 1</w:t>
      </w:r>
      <w:r w:rsidR="00105C70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>5</w:t>
      </w:r>
      <w:r w:rsidRPr="002F6A30">
        <w:rPr>
          <w:rFonts w:ascii="Arial" w:eastAsia="Times New Roman" w:hAnsi="Arial" w:cs="Arial"/>
          <w:b/>
          <w:bCs/>
          <w:color w:val="252525"/>
          <w:sz w:val="23"/>
          <w:lang w:eastAsia="ru-RU"/>
        </w:rPr>
        <w:t xml:space="preserve"> сентября 2024 года.</w:t>
      </w: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64720A" w:rsidRPr="002F6A30" w:rsidRDefault="0064720A" w:rsidP="00D540B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D540BE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Участники  конкурсного отбора:</w:t>
      </w:r>
    </w:p>
    <w:p w:rsidR="0064720A" w:rsidRPr="002F6A30" w:rsidRDefault="0064720A" w:rsidP="00D540B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- инициативные группы граждан;</w:t>
      </w:r>
    </w:p>
    <w:p w:rsidR="0064720A" w:rsidRDefault="0064720A" w:rsidP="00D540B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- индивидуальные предприниматели/юридические лица.</w:t>
      </w:r>
    </w:p>
    <w:p w:rsidR="00D540BE" w:rsidRPr="002F6A30" w:rsidRDefault="00D540BE" w:rsidP="00D540B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</w:p>
    <w:p w:rsidR="00410D9B" w:rsidRPr="002F6A30" w:rsidRDefault="00410D9B" w:rsidP="00410D9B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D540BE">
        <w:rPr>
          <w:rFonts w:ascii="Arial" w:eastAsia="Times New Roman" w:hAnsi="Arial" w:cs="Arial"/>
          <w:b/>
          <w:bCs/>
          <w:iCs/>
          <w:color w:val="252525"/>
          <w:sz w:val="23"/>
          <w:lang w:eastAsia="ru-RU"/>
        </w:rPr>
        <w:t xml:space="preserve">Отбор проектов </w:t>
      </w:r>
      <w:proofErr w:type="gramStart"/>
      <w:r w:rsidRPr="00D540BE">
        <w:rPr>
          <w:rFonts w:ascii="Arial" w:eastAsia="Times New Roman" w:hAnsi="Arial" w:cs="Arial"/>
          <w:b/>
          <w:bCs/>
          <w:iCs/>
          <w:color w:val="252525"/>
          <w:sz w:val="23"/>
          <w:lang w:eastAsia="ru-RU"/>
        </w:rPr>
        <w:t>инициативного</w:t>
      </w:r>
      <w:proofErr w:type="gramEnd"/>
      <w:r w:rsidRPr="00D540BE">
        <w:rPr>
          <w:rFonts w:ascii="Arial" w:eastAsia="Times New Roman" w:hAnsi="Arial" w:cs="Arial"/>
          <w:b/>
          <w:bCs/>
          <w:iCs/>
          <w:color w:val="252525"/>
          <w:sz w:val="23"/>
          <w:lang w:eastAsia="ru-RU"/>
        </w:rPr>
        <w:t xml:space="preserve"> </w:t>
      </w:r>
      <w:proofErr w:type="spellStart"/>
      <w:r w:rsidRPr="00D540BE">
        <w:rPr>
          <w:rFonts w:ascii="Arial" w:eastAsia="Times New Roman" w:hAnsi="Arial" w:cs="Arial"/>
          <w:b/>
          <w:bCs/>
          <w:iCs/>
          <w:color w:val="252525"/>
          <w:sz w:val="23"/>
          <w:lang w:eastAsia="ru-RU"/>
        </w:rPr>
        <w:t>бюджетирования</w:t>
      </w:r>
      <w:proofErr w:type="spellEnd"/>
      <w:r w:rsidRPr="00D540BE">
        <w:rPr>
          <w:rFonts w:ascii="Arial" w:eastAsia="Times New Roman" w:hAnsi="Arial" w:cs="Arial"/>
          <w:b/>
          <w:bCs/>
          <w:iCs/>
          <w:color w:val="252525"/>
          <w:sz w:val="23"/>
          <w:lang w:eastAsia="ru-RU"/>
        </w:rPr>
        <w:t xml:space="preserve"> осуществляется в следующих сферах:</w:t>
      </w:r>
    </w:p>
    <w:p w:rsidR="00D540BE" w:rsidRPr="00D540BE" w:rsidRDefault="00D540BE" w:rsidP="00D540BE">
      <w:pPr>
        <w:pStyle w:val="ConsPlusNormal"/>
        <w:spacing w:before="220"/>
        <w:ind w:firstLine="540"/>
        <w:jc w:val="both"/>
        <w:rPr>
          <w:rFonts w:ascii="Arial" w:eastAsia="Times New Roman" w:hAnsi="Arial" w:cs="Arial"/>
          <w:color w:val="252525"/>
          <w:sz w:val="23"/>
          <w:szCs w:val="23"/>
        </w:rPr>
      </w:pPr>
      <w:r w:rsidRPr="00D540B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Благоустройство территории </w:t>
      </w:r>
      <w:proofErr w:type="spellStart"/>
      <w:r w:rsidRPr="00D540BE">
        <w:rPr>
          <w:rFonts w:ascii="Arial" w:eastAsia="Times New Roman" w:hAnsi="Arial" w:cs="Arial"/>
          <w:b/>
          <w:color w:val="252525"/>
          <w:sz w:val="23"/>
          <w:szCs w:val="23"/>
        </w:rPr>
        <w:t>Тугулымского</w:t>
      </w:r>
      <w:proofErr w:type="spellEnd"/>
      <w:r w:rsidRPr="00D540B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 городского округа </w:t>
      </w:r>
      <w:r w:rsidRPr="00D540BE">
        <w:rPr>
          <w:rFonts w:ascii="Arial" w:eastAsia="Times New Roman" w:hAnsi="Arial" w:cs="Arial"/>
          <w:color w:val="252525"/>
          <w:sz w:val="23"/>
          <w:szCs w:val="23"/>
        </w:rPr>
        <w:t>(за исключением строительства, реконструкции и капитального ремонта объектов капитального строительства): обустройство детских площадок, мест для занятий физической культурой и спортом, общественных пространств (за исключением обустройства парковок и кладбищ, установки памятников, мемориалов, памятных досок), освещение улиц, озеленение;</w:t>
      </w:r>
    </w:p>
    <w:p w:rsidR="00D540BE" w:rsidRPr="00D540BE" w:rsidRDefault="00D540BE" w:rsidP="00D540BE">
      <w:pPr>
        <w:pStyle w:val="ConsPlusNormal"/>
        <w:spacing w:before="220"/>
        <w:ind w:firstLine="540"/>
        <w:jc w:val="both"/>
        <w:rPr>
          <w:rFonts w:ascii="Arial" w:eastAsia="Times New Roman" w:hAnsi="Arial" w:cs="Arial"/>
          <w:color w:val="252525"/>
          <w:sz w:val="23"/>
          <w:szCs w:val="23"/>
        </w:rPr>
      </w:pPr>
      <w:r>
        <w:rPr>
          <w:rFonts w:ascii="Arial" w:eastAsia="Times New Roman" w:hAnsi="Arial" w:cs="Arial"/>
          <w:b/>
          <w:color w:val="252525"/>
          <w:sz w:val="23"/>
          <w:szCs w:val="23"/>
        </w:rPr>
        <w:t xml:space="preserve">Дополнительное образование детей </w:t>
      </w:r>
      <w:r w:rsidRPr="00D540B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color w:val="252525"/>
          <w:sz w:val="23"/>
          <w:szCs w:val="23"/>
        </w:rPr>
        <w:t xml:space="preserve">- </w:t>
      </w:r>
      <w:r w:rsidRPr="00D540BE">
        <w:rPr>
          <w:rFonts w:ascii="Arial" w:eastAsia="Times New Roman" w:hAnsi="Arial" w:cs="Arial"/>
          <w:color w:val="252525"/>
          <w:sz w:val="23"/>
          <w:szCs w:val="23"/>
        </w:rPr>
        <w:t>приобретение оборудования, программных средств и иных товаров для муниципальных организаций, осуществляющих образовательную деятельность в сфере дополнительного образования детей;</w:t>
      </w:r>
    </w:p>
    <w:p w:rsidR="002134EE" w:rsidRDefault="00D540BE" w:rsidP="002134EE">
      <w:pPr>
        <w:pStyle w:val="ConsPlusNormal"/>
        <w:spacing w:before="220"/>
        <w:ind w:firstLine="540"/>
        <w:jc w:val="both"/>
        <w:rPr>
          <w:rFonts w:ascii="Arial" w:eastAsia="Times New Roman" w:hAnsi="Arial" w:cs="Arial"/>
          <w:color w:val="252525"/>
          <w:sz w:val="23"/>
          <w:szCs w:val="23"/>
        </w:rPr>
      </w:pPr>
      <w:r w:rsidRPr="00D540BE">
        <w:rPr>
          <w:rFonts w:ascii="Arial" w:eastAsia="Times New Roman" w:hAnsi="Arial" w:cs="Arial"/>
          <w:b/>
          <w:color w:val="252525"/>
          <w:sz w:val="23"/>
          <w:szCs w:val="23"/>
        </w:rPr>
        <w:t>Развитие и внедрение информационных технологий в муниципальных учреждениях культуры</w:t>
      </w:r>
      <w:r w:rsidRPr="00D540BE">
        <w:rPr>
          <w:rFonts w:ascii="Arial" w:eastAsia="Times New Roman" w:hAnsi="Arial" w:cs="Arial"/>
          <w:color w:val="252525"/>
          <w:sz w:val="23"/>
          <w:szCs w:val="23"/>
        </w:rPr>
        <w:t>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"одного окна").</w:t>
      </w:r>
    </w:p>
    <w:p w:rsidR="00D540BE" w:rsidRPr="002134EE" w:rsidRDefault="00D540BE" w:rsidP="002134EE">
      <w:pPr>
        <w:pStyle w:val="ConsPlusNormal"/>
        <w:spacing w:before="220"/>
        <w:ind w:firstLine="540"/>
        <w:jc w:val="both"/>
        <w:rPr>
          <w:rFonts w:ascii="Arial" w:eastAsia="Times New Roman" w:hAnsi="Arial" w:cs="Arial"/>
          <w:color w:val="252525"/>
          <w:sz w:val="23"/>
          <w:szCs w:val="23"/>
        </w:rPr>
      </w:pPr>
      <w:r w:rsidRPr="00D540BE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r w:rsidRPr="002134EE">
        <w:rPr>
          <w:rFonts w:ascii="Arial" w:eastAsia="Times New Roman" w:hAnsi="Arial" w:cs="Arial"/>
          <w:b/>
          <w:color w:val="252525"/>
          <w:sz w:val="23"/>
          <w:szCs w:val="23"/>
        </w:rPr>
        <w:t>Обязательное условие участия  в отборе –</w:t>
      </w:r>
      <w:r w:rsidR="004B0FBC" w:rsidRPr="002134E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 </w:t>
      </w:r>
      <w:proofErr w:type="spellStart"/>
      <w:r w:rsidRPr="002134EE">
        <w:rPr>
          <w:rFonts w:ascii="Arial" w:eastAsia="Times New Roman" w:hAnsi="Arial" w:cs="Arial"/>
          <w:b/>
          <w:color w:val="252525"/>
          <w:sz w:val="23"/>
          <w:szCs w:val="23"/>
        </w:rPr>
        <w:t>софинансирование</w:t>
      </w:r>
      <w:proofErr w:type="spellEnd"/>
      <w:r w:rsidRPr="002134E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 </w:t>
      </w:r>
      <w:r w:rsidR="004B0FBC" w:rsidRPr="002134E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проектов  инициативного </w:t>
      </w:r>
      <w:proofErr w:type="spellStart"/>
      <w:r w:rsidR="004B0FBC" w:rsidRPr="002134EE">
        <w:rPr>
          <w:rFonts w:ascii="Arial" w:eastAsia="Times New Roman" w:hAnsi="Arial" w:cs="Arial"/>
          <w:b/>
          <w:color w:val="252525"/>
          <w:sz w:val="23"/>
          <w:szCs w:val="23"/>
        </w:rPr>
        <w:t>бюджетирования</w:t>
      </w:r>
      <w:proofErr w:type="spellEnd"/>
      <w:r w:rsidR="002134EE">
        <w:rPr>
          <w:rFonts w:ascii="Arial" w:eastAsia="Times New Roman" w:hAnsi="Arial" w:cs="Arial"/>
          <w:b/>
          <w:color w:val="252525"/>
          <w:sz w:val="23"/>
          <w:szCs w:val="23"/>
        </w:rPr>
        <w:t>:</w:t>
      </w:r>
      <w:r w:rsidR="004B0FBC" w:rsidRPr="002134EE">
        <w:rPr>
          <w:rFonts w:ascii="Arial" w:eastAsia="Times New Roman" w:hAnsi="Arial" w:cs="Arial"/>
          <w:b/>
          <w:color w:val="252525"/>
          <w:sz w:val="23"/>
          <w:szCs w:val="23"/>
        </w:rPr>
        <w:t xml:space="preserve"> </w:t>
      </w:r>
    </w:p>
    <w:p w:rsidR="00D540BE" w:rsidRDefault="00D540BE" w:rsidP="00D540BE">
      <w:pPr>
        <w:pStyle w:val="ConsPlusNormal"/>
        <w:spacing w:before="220"/>
        <w:ind w:firstLine="540"/>
        <w:jc w:val="both"/>
        <w:rPr>
          <w:rFonts w:ascii="Arial" w:eastAsia="Times New Roman" w:hAnsi="Arial" w:cs="Arial"/>
          <w:color w:val="252525"/>
          <w:sz w:val="23"/>
          <w:szCs w:val="23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3677"/>
        <w:gridCol w:w="1024"/>
        <w:gridCol w:w="2592"/>
        <w:gridCol w:w="2028"/>
      </w:tblGrid>
      <w:tr w:rsidR="004B0FBC" w:rsidTr="002134EE">
        <w:tc>
          <w:tcPr>
            <w:tcW w:w="3677" w:type="dxa"/>
            <w:vMerge w:val="restart"/>
          </w:tcPr>
          <w:p w:rsidR="004B0FBC" w:rsidRPr="002134EE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Участники реализации   проектов </w:t>
            </w:r>
            <w:proofErr w:type="gramStart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инициативного</w:t>
            </w:r>
            <w:proofErr w:type="gramEnd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 </w:t>
            </w:r>
            <w:proofErr w:type="spellStart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бюджетирования</w:t>
            </w:r>
            <w:proofErr w:type="spellEnd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 </w:t>
            </w:r>
          </w:p>
        </w:tc>
        <w:tc>
          <w:tcPr>
            <w:tcW w:w="1024" w:type="dxa"/>
            <w:vMerge w:val="restart"/>
          </w:tcPr>
          <w:p w:rsidR="004B0FBC" w:rsidRPr="002134EE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  <w:proofErr w:type="spellStart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Ед</w:t>
            </w:r>
            <w:proofErr w:type="gramStart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.и</w:t>
            </w:r>
            <w:proofErr w:type="gramEnd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зм</w:t>
            </w:r>
            <w:proofErr w:type="spellEnd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.</w:t>
            </w:r>
          </w:p>
        </w:tc>
        <w:tc>
          <w:tcPr>
            <w:tcW w:w="4620" w:type="dxa"/>
            <w:gridSpan w:val="2"/>
          </w:tcPr>
          <w:p w:rsidR="004B0FBC" w:rsidRPr="002134EE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Уровень </w:t>
            </w:r>
            <w:proofErr w:type="spellStart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>софинансирования</w:t>
            </w:r>
            <w:proofErr w:type="spellEnd"/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 проектов </w:t>
            </w:r>
          </w:p>
        </w:tc>
      </w:tr>
      <w:tr w:rsidR="004B0FBC" w:rsidTr="002134EE">
        <w:tc>
          <w:tcPr>
            <w:tcW w:w="3677" w:type="dxa"/>
            <w:vMerge/>
          </w:tcPr>
          <w:p w:rsidR="004B0FBC" w:rsidRPr="002134EE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</w:p>
        </w:tc>
        <w:tc>
          <w:tcPr>
            <w:tcW w:w="1024" w:type="dxa"/>
            <w:vMerge/>
          </w:tcPr>
          <w:p w:rsidR="004B0FBC" w:rsidRPr="002134EE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</w:p>
        </w:tc>
        <w:tc>
          <w:tcPr>
            <w:tcW w:w="2592" w:type="dxa"/>
          </w:tcPr>
          <w:p w:rsidR="004B0FBC" w:rsidRPr="002134EE" w:rsidRDefault="004B0FBC" w:rsidP="004B0FBC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минимальный </w:t>
            </w:r>
          </w:p>
        </w:tc>
        <w:tc>
          <w:tcPr>
            <w:tcW w:w="2028" w:type="dxa"/>
          </w:tcPr>
          <w:p w:rsidR="004B0FBC" w:rsidRPr="002134EE" w:rsidRDefault="004B0FBC" w:rsidP="004B0FBC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</w:pPr>
            <w:r w:rsidRPr="002134EE">
              <w:rPr>
                <w:rFonts w:ascii="Arial" w:eastAsia="Times New Roman" w:hAnsi="Arial" w:cs="Arial"/>
                <w:i/>
                <w:color w:val="252525"/>
                <w:sz w:val="23"/>
                <w:szCs w:val="23"/>
              </w:rPr>
              <w:t xml:space="preserve">максимальный </w:t>
            </w:r>
          </w:p>
        </w:tc>
      </w:tr>
      <w:tr w:rsidR="004B0FBC" w:rsidTr="002134EE">
        <w:tc>
          <w:tcPr>
            <w:tcW w:w="3677" w:type="dxa"/>
          </w:tcPr>
          <w:p w:rsidR="004B0FBC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 xml:space="preserve">Жители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пгт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 xml:space="preserve"> Тугулым</w:t>
            </w:r>
          </w:p>
        </w:tc>
        <w:tc>
          <w:tcPr>
            <w:tcW w:w="1024" w:type="dxa"/>
          </w:tcPr>
          <w:p w:rsidR="004B0FBC" w:rsidRDefault="004B0FBC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%</w:t>
            </w:r>
          </w:p>
        </w:tc>
        <w:tc>
          <w:tcPr>
            <w:tcW w:w="2592" w:type="dxa"/>
          </w:tcPr>
          <w:p w:rsidR="004B0FBC" w:rsidRDefault="004B0FBC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5</w:t>
            </w:r>
          </w:p>
        </w:tc>
        <w:tc>
          <w:tcPr>
            <w:tcW w:w="2028" w:type="dxa"/>
          </w:tcPr>
          <w:p w:rsidR="004B0FBC" w:rsidRDefault="004B0FBC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60</w:t>
            </w:r>
          </w:p>
        </w:tc>
      </w:tr>
      <w:tr w:rsidR="004B0FBC" w:rsidTr="002134EE">
        <w:tc>
          <w:tcPr>
            <w:tcW w:w="3677" w:type="dxa"/>
          </w:tcPr>
          <w:p w:rsidR="004B0FBC" w:rsidRDefault="004B0FBC" w:rsidP="00D540B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 xml:space="preserve">Жители  сельских населенных пунктов </w:t>
            </w:r>
          </w:p>
        </w:tc>
        <w:tc>
          <w:tcPr>
            <w:tcW w:w="1024" w:type="dxa"/>
          </w:tcPr>
          <w:p w:rsidR="004B0FBC" w:rsidRDefault="004B0FBC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%</w:t>
            </w:r>
          </w:p>
        </w:tc>
        <w:tc>
          <w:tcPr>
            <w:tcW w:w="2592" w:type="dxa"/>
          </w:tcPr>
          <w:p w:rsidR="004B0FBC" w:rsidRDefault="004B0FBC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1</w:t>
            </w:r>
          </w:p>
        </w:tc>
        <w:tc>
          <w:tcPr>
            <w:tcW w:w="2028" w:type="dxa"/>
          </w:tcPr>
          <w:p w:rsidR="004B0FBC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56</w:t>
            </w:r>
          </w:p>
        </w:tc>
      </w:tr>
      <w:tr w:rsidR="002134EE" w:rsidTr="002134EE">
        <w:tc>
          <w:tcPr>
            <w:tcW w:w="3677" w:type="dxa"/>
          </w:tcPr>
          <w:p w:rsidR="002134EE" w:rsidRDefault="002134EE" w:rsidP="002134E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Организации (юридические лица, индивидуальные предприниматели)</w:t>
            </w:r>
          </w:p>
        </w:tc>
        <w:tc>
          <w:tcPr>
            <w:tcW w:w="1024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%</w:t>
            </w:r>
          </w:p>
        </w:tc>
        <w:tc>
          <w:tcPr>
            <w:tcW w:w="2592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10</w:t>
            </w:r>
          </w:p>
        </w:tc>
        <w:tc>
          <w:tcPr>
            <w:tcW w:w="2028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65</w:t>
            </w:r>
          </w:p>
        </w:tc>
      </w:tr>
      <w:tr w:rsidR="002134EE" w:rsidTr="002134EE">
        <w:tc>
          <w:tcPr>
            <w:tcW w:w="3677" w:type="dxa"/>
          </w:tcPr>
          <w:p w:rsidR="002134EE" w:rsidRDefault="002134EE" w:rsidP="002134E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1024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%</w:t>
            </w:r>
          </w:p>
        </w:tc>
        <w:tc>
          <w:tcPr>
            <w:tcW w:w="2592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35</w:t>
            </w:r>
          </w:p>
        </w:tc>
        <w:tc>
          <w:tcPr>
            <w:tcW w:w="2028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85</w:t>
            </w:r>
          </w:p>
        </w:tc>
      </w:tr>
      <w:tr w:rsidR="002134EE" w:rsidTr="002134EE">
        <w:tc>
          <w:tcPr>
            <w:tcW w:w="3677" w:type="dxa"/>
          </w:tcPr>
          <w:p w:rsidR="002134EE" w:rsidRDefault="002134EE" w:rsidP="002134EE">
            <w:pPr>
              <w:pStyle w:val="ConsPlusNormal"/>
              <w:spacing w:before="220"/>
              <w:jc w:val="both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 xml:space="preserve">Областной бюджет  </w:t>
            </w:r>
          </w:p>
        </w:tc>
        <w:tc>
          <w:tcPr>
            <w:tcW w:w="1024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%</w:t>
            </w:r>
          </w:p>
        </w:tc>
        <w:tc>
          <w:tcPr>
            <w:tcW w:w="2592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</w:p>
        </w:tc>
        <w:tc>
          <w:tcPr>
            <w:tcW w:w="2028" w:type="dxa"/>
          </w:tcPr>
          <w:p w:rsidR="002134EE" w:rsidRDefault="002134EE" w:rsidP="002134EE">
            <w:pPr>
              <w:pStyle w:val="ConsPlusNormal"/>
              <w:spacing w:before="220"/>
              <w:jc w:val="center"/>
              <w:rPr>
                <w:rFonts w:ascii="Arial" w:eastAsia="Times New Roman" w:hAnsi="Arial" w:cs="Arial"/>
                <w:color w:val="25252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50 ( но не более 2 млн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3"/>
                <w:szCs w:val="23"/>
              </w:rPr>
              <w:t>уб.)</w:t>
            </w:r>
          </w:p>
        </w:tc>
      </w:tr>
    </w:tbl>
    <w:p w:rsidR="004B0FBC" w:rsidRDefault="004B0FBC" w:rsidP="00D540BE">
      <w:pPr>
        <w:pStyle w:val="ConsPlusNormal"/>
        <w:spacing w:before="220"/>
        <w:ind w:firstLine="540"/>
        <w:jc w:val="both"/>
        <w:rPr>
          <w:rFonts w:ascii="Arial" w:eastAsia="Times New Roman" w:hAnsi="Arial" w:cs="Arial"/>
          <w:color w:val="252525"/>
          <w:sz w:val="23"/>
          <w:szCs w:val="23"/>
        </w:rPr>
      </w:pPr>
    </w:p>
    <w:p w:rsidR="002134EE" w:rsidRPr="002F6A30" w:rsidRDefault="002134EE" w:rsidP="002134EE">
      <w:pPr>
        <w:spacing w:after="0" w:line="264" w:lineRule="atLeast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Для участия в конкурсном отборе инициативная группа представляет в администрацию </w:t>
      </w:r>
      <w:proofErr w:type="spellStart"/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Тугулымского</w:t>
      </w:r>
      <w:proofErr w:type="spellEnd"/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городского округа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: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1) </w:t>
      </w:r>
      <w:r w:rsidR="00105C7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заявка для участия  в конкурсном  отборе  с информацией 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о проекте инициативного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бюджетирования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(по установленной форме);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2) протокол собрания </w:t>
      </w:r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инициативной группы (населения)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3) подписной ли</w:t>
      </w:r>
      <w:proofErr w:type="gram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ст к пр</w:t>
      </w:r>
      <w:proofErr w:type="gram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отоколу собрания жителей (инициативной группы) для реализации проекта инициативного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бюджетирования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 территории </w:t>
      </w:r>
      <w:proofErr w:type="spellStart"/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Тугулымского</w:t>
      </w:r>
      <w:proofErr w:type="spellEnd"/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городского округа;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4) гарантийное письмо, подтверждающее обязательства по финансовому обеспечению проекта населением, подписанное представителем инициативной группы;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5) гарантийное письмо, подтверждающее обязательства по финансовому обеспечению проекта индивидуальными предпринимателями, юридическими лицами, общественными организациями;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6) фотоматериалы о текущем состоянии объекта, где планируется проведение работ в рамках проекта инициативного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бюджетирования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7) копию сметного расчета стоимости проекта инициативного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бюджетирования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(оценка), если предусмотрены строительно-монтажные работы;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копии коммерческих предложений (иных документов, содержащих информацию о рыночных ценах)</w:t>
      </w:r>
      <w:r w:rsidRPr="00DC0DE0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 в количестве не менее трех, если предусмотрено приобретение программных средств, оборудования и иных товаров (с учетом поставки, монтажа и наладки, если они необходимы)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8) копию положительного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строительства, выданного уполномоченной на проведение государственной экспертизы проектной документации и результатов инженерных изысканий организацией (в случаях, предусмотренных законодательством Российской Федерации);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9) опись представленных документов, подписанная представителем инициативной группы.</w:t>
      </w:r>
    </w:p>
    <w:p w:rsidR="002134EE" w:rsidRPr="002F6A30" w:rsidRDefault="002134EE" w:rsidP="002134EE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Информация о проведении конкурсного отбора проектов инициативного </w:t>
      </w:r>
      <w:proofErr w:type="spellStart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бюджетирования</w:t>
      </w:r>
      <w:proofErr w:type="spellEnd"/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размещена на официальном сайте администрации </w:t>
      </w:r>
      <w:proofErr w:type="spellStart"/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Тугулымского</w:t>
      </w:r>
      <w:proofErr w:type="spellEnd"/>
      <w:r w:rsidR="00DC0DE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городского округа</w:t>
      </w:r>
      <w:r w:rsidRPr="002F6A30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9C298E" w:rsidRPr="00D540BE" w:rsidRDefault="009C298E" w:rsidP="002134EE">
      <w:pPr>
        <w:pStyle w:val="ConsPlusNormal"/>
        <w:spacing w:before="220"/>
        <w:ind w:firstLine="540"/>
        <w:jc w:val="right"/>
        <w:rPr>
          <w:rFonts w:ascii="Arial" w:eastAsia="Times New Roman" w:hAnsi="Arial" w:cs="Arial"/>
          <w:color w:val="252525"/>
          <w:sz w:val="23"/>
          <w:szCs w:val="23"/>
        </w:rPr>
      </w:pPr>
    </w:p>
    <w:sectPr w:rsidR="009C298E" w:rsidRPr="00D540BE" w:rsidSect="009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0D9B"/>
    <w:rsid w:val="000236FF"/>
    <w:rsid w:val="00105C70"/>
    <w:rsid w:val="001870C5"/>
    <w:rsid w:val="002134EE"/>
    <w:rsid w:val="00410D9B"/>
    <w:rsid w:val="004B0FBC"/>
    <w:rsid w:val="00582399"/>
    <w:rsid w:val="0064720A"/>
    <w:rsid w:val="009C298E"/>
    <w:rsid w:val="00C67F54"/>
    <w:rsid w:val="00D540BE"/>
    <w:rsid w:val="00DC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4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4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4B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0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SNA19</dc:creator>
  <cp:keywords/>
  <dc:description/>
  <cp:lastModifiedBy>SNA19</cp:lastModifiedBy>
  <cp:revision>6</cp:revision>
  <cp:lastPrinted>2024-08-14T08:35:00Z</cp:lastPrinted>
  <dcterms:created xsi:type="dcterms:W3CDTF">2024-08-09T10:02:00Z</dcterms:created>
  <dcterms:modified xsi:type="dcterms:W3CDTF">2024-08-14T11:16:00Z</dcterms:modified>
</cp:coreProperties>
</file>