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ind w:firstLine="709"/>
        <w:jc w:val="right"/>
        <w:rPr>
          <w:b/>
          <w:b/>
          <w:bCs/>
        </w:rPr>
      </w:pPr>
      <w:r>
        <w:rPr>
          <w:b/>
          <w:bCs/>
        </w:rPr>
        <w:t xml:space="preserve">К проекту Решения Думы </w:t>
      </w:r>
    </w:p>
    <w:p>
      <w:pPr>
        <w:pStyle w:val="Normal"/>
        <w:widowControl w:val="false"/>
        <w:ind w:firstLine="709"/>
        <w:jc w:val="right"/>
        <w:rPr>
          <w:b/>
          <w:b/>
          <w:bCs/>
        </w:rPr>
      </w:pPr>
      <w:r>
        <w:rPr>
          <w:b/>
          <w:bCs/>
        </w:rPr>
        <w:t>Тугулымского городского округа</w:t>
      </w:r>
    </w:p>
    <w:p>
      <w:pPr>
        <w:pStyle w:val="Normal"/>
        <w:widowControl w:val="false"/>
        <w:jc w:val="center"/>
        <w:rPr>
          <w:b/>
          <w:b/>
          <w:bCs/>
        </w:rPr>
      </w:pPr>
      <w:r>
        <w:rPr>
          <w:b/>
          <w:bCs/>
        </w:rPr>
      </w:r>
    </w:p>
    <w:p>
      <w:pPr>
        <w:pStyle w:val="Normal"/>
        <w:widowControl w:val="false"/>
        <w:jc w:val="center"/>
        <w:rPr>
          <w:b/>
          <w:b/>
          <w:bCs/>
        </w:rPr>
      </w:pPr>
      <w:r>
        <w:rPr>
          <w:b/>
          <w:bCs/>
        </w:rPr>
        <w:t xml:space="preserve">Правила благоустройства территории </w:t>
      </w:r>
    </w:p>
    <w:p>
      <w:pPr>
        <w:pStyle w:val="Normal"/>
        <w:widowControl w:val="false"/>
        <w:jc w:val="center"/>
        <w:rPr>
          <w:b/>
          <w:b/>
          <w:bCs/>
        </w:rPr>
      </w:pPr>
      <w:r>
        <w:rPr>
          <w:b/>
          <w:bCs/>
        </w:rPr>
        <w:t xml:space="preserve">Тугулымского городского округа </w:t>
      </w:r>
    </w:p>
    <w:p>
      <w:pPr>
        <w:pStyle w:val="Normal"/>
        <w:widowControl w:val="false"/>
        <w:ind w:firstLine="709"/>
        <w:rPr/>
      </w:pPr>
      <w:r>
        <w:rPr/>
      </w:r>
    </w:p>
    <w:p>
      <w:pPr>
        <w:pStyle w:val="HTMLPreformatted"/>
        <w:jc w:val="center"/>
        <w:rPr>
          <w:rFonts w:ascii="Liberation Mono" w:hAnsi="Liberation Mono" w:cs="Liberation Mono"/>
        </w:rPr>
      </w:pPr>
      <w:bookmarkStart w:id="0" w:name="Par37"/>
      <w:bookmarkEnd w:id="0"/>
      <w:r>
        <w:rPr>
          <w:rFonts w:cs="Times New Roman" w:ascii="Times New Roman" w:hAnsi="Times New Roman"/>
          <w:sz w:val="28"/>
          <w:szCs w:val="28"/>
        </w:rPr>
        <w:t>I. ОБЩИЕ ПОЛОЖЕНИЯ</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Liberation Mono" w:hAnsi="Liberation Mono" w:cs="Liberation Mono"/>
        </w:rPr>
      </w:pPr>
      <w:r>
        <w:rPr>
          <w:rFonts w:cs="Times New Roman" w:ascii="Times New Roman" w:hAnsi="Times New Roman"/>
          <w:sz w:val="28"/>
          <w:szCs w:val="28"/>
        </w:rPr>
        <w:tab/>
        <w:t xml:space="preserve">1.1. Правила благоустройства территории Тугулымского городского округа (далее - Правила) разработаны на основании Федерального закона от 6 октября 2003 года № 131-ФЗ "Об общих принципах организации местного самоуправления в Российской Федерации", Закона Свердловской области от 14 июня 2005 года № 52-ОЗ "Об административных правонарушениях на территории Свердловской области", Устава Тугулымского городского округа. </w:t>
      </w:r>
    </w:p>
    <w:p>
      <w:pPr>
        <w:pStyle w:val="HTMLPreformatted"/>
        <w:jc w:val="both"/>
        <w:rPr>
          <w:rFonts w:ascii="Liberation Mono" w:hAnsi="Liberation Mono" w:cs="Liberation Mono"/>
        </w:rPr>
      </w:pPr>
      <w:r>
        <w:rPr>
          <w:rFonts w:cs="Times New Roman" w:ascii="Times New Roman" w:hAnsi="Times New Roman"/>
          <w:sz w:val="28"/>
          <w:szCs w:val="28"/>
        </w:rPr>
        <w:tab/>
        <w:t xml:space="preserve">1.2. Настоящие Правила приняты в целях обеспечения прав граждан на благоприятную среду обитания, улучшения внешнего облика Тугулымского городского округа, повышения ответственности организаций и граждан за выполнение требований в сфере благоустройства.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ab/>
        <w:t xml:space="preserve">1.3. Настоящие Правила регламентируют отношения в сфере благоустройства по вопросу: взаимодействия организаций, должностных лиц и граждан; порядка проведения работ; определения обязанностей граждан и организаций независимо от организационно-правовой формы и формы собственности.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ab/>
        <w:t xml:space="preserve">1.4. Настоящие Правила действуют на территории Тугулымского городского округа и обязательны для исполнения всеми организациями независимо от организационно-правовой формы и формы собственности, индивидуальными предпринимателями, гражданами.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ab/>
        <w:t xml:space="preserve">1.5. Муниципальные нормативные правовые акты Тугулымского городского округа, локальные акты организаций, регламентирующие правила проведения строительных, ремонтных, земляных работ, а также устанавливающие требования по вопросам благоустройства, санитарного содержания, организации уборки и обеспечения чистоты и порядка, озеленения на территории Тугулымского городского округа, размещения объектов мелкорозничной торговли, объектов рекламы и других объектов инфраструктуры, не должны противоречить настоящим Правилам.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ab/>
        <w:t xml:space="preserve">1.6. Контроль за соблюдением настоящих Правил осуществляют должностные лица администрации Тугулымского городского округа, уполномоченные составлять протоколы об административных правонарушениях, предусмотренных Законом Свердловской области от 04.06.20115 №52-ОЗ «Об административных правонарушениях на территории Свердловской области».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ab/>
        <w:t xml:space="preserve">1.7. В настоящих Правилах применяются следующие основные понятия: 1) архитектурно-градостроительный облик объекта - внешний облик здания, строения, сооружения, воплощающий совокупность архитектурных, колористических, объемно-планировочных, композиционных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благоустройство - комплекс мероприятий по содержанию территории Тугулмыского городского округа,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вывоз твердых коммунальных отходов (крупногабаритного мусора) - выгрузка твердых коммунальных отходов из контейнеров в специальный транспорт, очистка контейнерных площадок и подъездов к ним от просыпавшегося мусора и транспортировка отходов с мест сбора мусора к месту размещения отходов;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зеленые насаждения - это совокупность древесных, кустарниковых, травянистых, цветочных растений естественного или искусственного происхождения, в том числе газонов, цветников, а также отдельно стоящие деревья и кустарники;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газон - территория, прилегающая к различным видам покрытий и (или) огороженная бортовым камнем, преимущественно с искусственно созданным травянистым покровом, предназначенным для размещения зеленых насаждений и травянистой растительности. Газоном также признается территория, травянистый покров которой был утрачен в результате хозяйственной деятельности или в силу природных условий;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 детская площадка - плоскостное сооружение, предназначенное для игр и активного отдыха детей разных возрастов;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 контейнер - стандартная емкость для сбора твердых коммунальных отходов; 8) 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 норматив накопления твердых коммунальных отходов - среднее количество твердых коммунальных отходов, образующихся в единицу времени;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10)объекты благоустройства - проезжая часть улиц и тротуары, дороги, обособленные пешеходные территории, площадки, внутриквартальные территории (в том числе детские и спортивные площадки), мосты, набережные, пешеходные и велосипедные дорожки, привокзальные территории, остановки городского пассажирского транспорта, переезды через железнодорожные пути, парки, сады, скверы, газоны, пляжи, хозяйственные площадки, территории вокруг предприятий торговли, подъезды и территории, прилегающие к строительным площадкам, территории кладбищ и подъезды к ним, пустыри и иные поверхности земельных участков; места и сооружения, предназначенные для санитарного содержания территории, в том числе оборудование и сооружения для сбора и вывоза отходов производства и потребления; территории производственных объектов, зон инженерной инфраструктуры и зон специального назначения, включая свалки, полигоны для захоронения отходов производства и потребления; территории вокзалов, сооружения и места для хранения и технического обслуживания автомототранспортных средств, в том числе гаражи, автостоянки, автозаправочные станции, моечные комплексы; технические средства организации дорожного движения; устройство наружного освещения и подсветки; фасады зданий и сооружений, их декор,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 металлоизделия, ставни, водосточные трубы, светильники, флагштоки, настенные кондиционеры и другое оборудование, пристроенное к стенам или вмонтированное в них, номерные знаки домов;  заборы, ограждения, ворота; мемориальные комплексы, памятники и воинские захоронения; малые архитектурные формы, уличная мебель и иные объекты декоративного и рекреационного назначения, в том числе произведения монументально-декоративного искусства (скульптуры, обелиски, стелы), памятные доски, фонтаны, бассейны, скамьи, беседки, эстрады, цветники;  предметы праздничного оформления;  объекты мелкорозничной торговой сети, летние кафе; 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объекты для размещения информации и рекламы (включая тумбы, стенды, табло, уличные установки и другие сооружения или устройства), общественные туалеты, урны и другие уличные мусоросборники; наружная часть производственных и инженерных сооружений; зеленые насаждения на территории городского округа, а также иные объекты, в отношении которых действия субъектов права регулируются установленными законодательством правилами и нормами благоустройства;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11) 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12) обращение с отходами - деятельность по сбору, накоплению, транспортированию, обработке, утилизации, обезвреживанию, размещению отходов;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13) отведенная территория - земельный участок, предоставленный в установленном порядке юридическим и физическим лицам на праве собственности, аренды, ином праве пользования, согласно правоустанавливающим документам;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14) отходы производства и потребления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15) паспорт фасадов - документ в виде текстовых и графических материалов, отображающих информацию о внешнем оформлении фасадов существующего здания, строения, сооружения, его конструктивных элементах, о размещении дополнительных элементов и устройств; </w:t>
      </w:r>
    </w:p>
    <w:p>
      <w:pPr>
        <w:pStyle w:val="HTMLPreformatted"/>
        <w:jc w:val="both"/>
        <w:rPr/>
      </w:pPr>
      <w:r>
        <w:rPr>
          <w:rFonts w:cs="Times New Roman" w:ascii="Times New Roman" w:hAnsi="Times New Roman"/>
          <w:sz w:val="28"/>
          <w:szCs w:val="28"/>
        </w:rPr>
        <w:t>1</w:t>
      </w:r>
      <w:r>
        <w:rPr>
          <w:rFonts w:cs="Times New Roman" w:ascii="Times New Roman" w:hAnsi="Times New Roman"/>
          <w:sz w:val="28"/>
          <w:szCs w:val="28"/>
        </w:rPr>
        <w:t>6</w:t>
      </w:r>
      <w:r>
        <w:rPr>
          <w:rFonts w:cs="Times New Roman" w:ascii="Times New Roman" w:hAnsi="Times New Roman"/>
          <w:sz w:val="28"/>
          <w:szCs w:val="28"/>
        </w:rPr>
        <w:t xml:space="preserve">) прилегающая территория - часть территории общего пользования, которая примыкает к отведенной территории и может быть дополнительно закреплена на договорных условиях  в целях благоустройства, санитарного содержания, озеленения за физическими и юридическими лицами; </w:t>
      </w:r>
    </w:p>
    <w:p>
      <w:pPr>
        <w:pStyle w:val="HTMLPreformatted"/>
        <w:jc w:val="both"/>
        <w:rPr/>
      </w:pPr>
      <w:r>
        <w:rPr>
          <w:rFonts w:cs="Times New Roman" w:ascii="Times New Roman" w:hAnsi="Times New Roman"/>
          <w:sz w:val="28"/>
          <w:szCs w:val="28"/>
        </w:rPr>
        <w:t>1</w:t>
      </w:r>
      <w:r>
        <w:rPr>
          <w:rFonts w:cs="Times New Roman" w:ascii="Times New Roman" w:hAnsi="Times New Roman"/>
          <w:sz w:val="28"/>
          <w:szCs w:val="28"/>
        </w:rPr>
        <w:t>7</w:t>
      </w:r>
      <w:r>
        <w:rPr>
          <w:rFonts w:cs="Times New Roman" w:ascii="Times New Roman" w:hAnsi="Times New Roman"/>
          <w:sz w:val="28"/>
          <w:szCs w:val="28"/>
        </w:rPr>
        <w:t xml:space="preserve">) 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 </w:t>
      </w:r>
    </w:p>
    <w:p>
      <w:pPr>
        <w:pStyle w:val="HTMLPreformatted"/>
        <w:jc w:val="both"/>
        <w:rPr/>
      </w:pPr>
      <w:r>
        <w:rPr>
          <w:rFonts w:cs="Times New Roman" w:ascii="Times New Roman" w:hAnsi="Times New Roman"/>
          <w:sz w:val="28"/>
          <w:szCs w:val="28"/>
        </w:rPr>
        <w:t>1</w:t>
      </w:r>
      <w:r>
        <w:rPr>
          <w:rFonts w:cs="Times New Roman" w:ascii="Times New Roman" w:hAnsi="Times New Roman"/>
          <w:sz w:val="28"/>
          <w:szCs w:val="28"/>
        </w:rPr>
        <w:t>8</w:t>
      </w:r>
      <w:r>
        <w:rPr>
          <w:rFonts w:cs="Times New Roman" w:ascii="Times New Roman" w:hAnsi="Times New Roman"/>
          <w:sz w:val="28"/>
          <w:szCs w:val="28"/>
        </w:rPr>
        <w:t xml:space="preserve">) содержание дорог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p>
    <w:p>
      <w:pPr>
        <w:pStyle w:val="HTMLPreformatted"/>
        <w:jc w:val="both"/>
        <w:rPr/>
      </w:pPr>
      <w:r>
        <w:rPr>
          <w:rFonts w:cs="Times New Roman" w:ascii="Times New Roman" w:hAnsi="Times New Roman"/>
          <w:sz w:val="28"/>
          <w:szCs w:val="28"/>
        </w:rPr>
        <w:t>19</w:t>
      </w:r>
      <w:r>
        <w:rPr>
          <w:rFonts w:cs="Times New Roman" w:ascii="Times New Roman" w:hAnsi="Times New Roman"/>
          <w:sz w:val="28"/>
          <w:szCs w:val="28"/>
        </w:rPr>
        <w:t xml:space="preserve">) содержание объекта благоустройства - выполнение комплекса работ, обеспечивающих его чистоту, надлежащее физическое или техническое состояние и безопасность.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0</w:t>
      </w:r>
      <w:r>
        <w:rPr>
          <w:rFonts w:cs="Times New Roman" w:ascii="Times New Roman" w:hAnsi="Times New Roman"/>
          <w:sz w:val="28"/>
          <w:szCs w:val="28"/>
        </w:rPr>
        <w:t xml:space="preserve">) спортивная площадка - плоскостное сооружение, предназначенное для занятий физкультурой и спортом всех возрастных групп населения;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1</w:t>
      </w:r>
      <w:r>
        <w:rPr>
          <w:rFonts w:cs="Times New Roman" w:ascii="Times New Roman" w:hAnsi="Times New Roman"/>
          <w:sz w:val="28"/>
          <w:szCs w:val="28"/>
        </w:rPr>
        <w:t xml:space="preserve">) смёт - отходы от уборки территории улично-дорожной сети, внутриквартальных и пешеходных дорожек (песок, пыль, листва);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2</w:t>
      </w:r>
      <w:r>
        <w:rPr>
          <w:rFonts w:cs="Times New Roman" w:ascii="Times New Roman" w:hAnsi="Times New Roman"/>
          <w:sz w:val="28"/>
          <w:szCs w:val="28"/>
        </w:rPr>
        <w:t xml:space="preserve">) 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3</w:t>
      </w:r>
      <w:r>
        <w:rPr>
          <w:rFonts w:cs="Times New Roman" w:ascii="Times New Roman" w:hAnsi="Times New Roman"/>
          <w:sz w:val="28"/>
          <w:szCs w:val="28"/>
        </w:rPr>
        <w:t xml:space="preserve">) транспортное средство - устройство, предназначенное для перевозки по дорогам людей, грузов или оборудования, установленного на нем (автомобиль легковой и грузовой, автобус, микроавтобус, трактор, экскаватор и другие автотранспортные средства, мотоцикл, мотороллер и другие мототранспортные средства);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4</w:t>
      </w:r>
      <w:r>
        <w:rPr>
          <w:rFonts w:cs="Times New Roman" w:ascii="Times New Roman" w:hAnsi="Times New Roman"/>
          <w:sz w:val="28"/>
          <w:szCs w:val="28"/>
        </w:rPr>
        <w:t xml:space="preserve">) улично-дорожная сеть - совокупность ограниченных красными линиями городских дорог, улиц, проездов, включая основную проезжую часть, газоны, тротуары, наружное освещение, зеленые насаждения и другие объекты благоустройства;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5</w:t>
      </w:r>
      <w:r>
        <w:rPr>
          <w:rFonts w:cs="Times New Roman" w:ascii="Times New Roman" w:hAnsi="Times New Roman"/>
          <w:sz w:val="28"/>
          <w:szCs w:val="28"/>
        </w:rPr>
        <w:t xml:space="preserve">) 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6</w:t>
      </w:r>
      <w:r>
        <w:rPr>
          <w:rFonts w:cs="Times New Roman" w:ascii="Times New Roman" w:hAnsi="Times New Roman"/>
          <w:sz w:val="28"/>
          <w:szCs w:val="28"/>
        </w:rPr>
        <w:t xml:space="preserve">) 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 </w:t>
      </w:r>
    </w:p>
    <w:p>
      <w:pPr>
        <w:pStyle w:val="HTMLPreformatted"/>
        <w:jc w:val="both"/>
        <w:rPr/>
      </w:pPr>
      <w:r>
        <w:rPr>
          <w:rFonts w:cs="Times New Roman" w:ascii="Times New Roman" w:hAnsi="Times New Roman"/>
          <w:sz w:val="28"/>
          <w:szCs w:val="28"/>
        </w:rPr>
        <w:t>2</w:t>
      </w:r>
      <w:r>
        <w:rPr>
          <w:rFonts w:cs="Times New Roman" w:ascii="Times New Roman" w:hAnsi="Times New Roman"/>
          <w:sz w:val="28"/>
          <w:szCs w:val="28"/>
        </w:rPr>
        <w:t>7</w:t>
      </w:r>
      <w:r>
        <w:rPr>
          <w:rFonts w:cs="Times New Roman" w:ascii="Times New Roman" w:hAnsi="Times New Roman"/>
          <w:sz w:val="28"/>
          <w:szCs w:val="28"/>
        </w:rPr>
        <w:t>) штендер - временная выносная информационная конструкция, размещаемая на земельных участках предприятиями, учреждениями, организациями и индивидуальными предпринимателями в часы их работы;</w:t>
      </w:r>
    </w:p>
    <w:p>
      <w:pPr>
        <w:pStyle w:val="HTMLPreformatted"/>
        <w:jc w:val="both"/>
        <w:rPr>
          <w:rFonts w:ascii="Liberation Mono" w:hAnsi="Liberation Mono" w:cs="Liberation Mono"/>
        </w:rPr>
      </w:pPr>
      <w:r>
        <w:rPr>
          <w:rFonts w:cs="Times New Roman" w:ascii="Times New Roman" w:hAnsi="Times New Roman"/>
          <w:sz w:val="28"/>
          <w:szCs w:val="28"/>
        </w:rPr>
        <w:t>2</w:t>
      </w:r>
      <w:r>
        <w:rPr>
          <w:rFonts w:cs="Times New Roman" w:ascii="Times New Roman" w:hAnsi="Times New Roman"/>
          <w:sz w:val="28"/>
          <w:szCs w:val="28"/>
        </w:rPr>
        <w:t>8</w:t>
      </w:r>
      <w:r>
        <w:rPr>
          <w:rFonts w:cs="Times New Roman" w:ascii="Times New Roman" w:hAnsi="Times New Roman"/>
          <w:sz w:val="28"/>
          <w:szCs w:val="28"/>
        </w:rPr>
        <w:t xml:space="preserve">) эскизный проект - документ в виде текстовых и графических материалов, которые содержат информацию об архитектурно-градостроительном облике вновь строящегося или подлежащего реконструкции объекта капитального строительства.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II. БЛАГОУСТРОЙСТВО ТЕРРИТОРИИ ТУГУЛЫМСКОГО ГОРОДСКОГО ОКРУГА</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2.1. Благоустройство территории Тугулымского городского округа осуществляются силами и средствами администрации Тугулымского  городского округа, физических и юридических лиц независимо от форм собственности, ведомственной принадлежности и гражданства.  Реализация мероприятий по благоустройству и санитарному содержанию территории округа осуществляется в течение всего года.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2.2. На территории Тугулымского городского округа запрещается: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бросать, складировать, хранить бытовой и строительный мусор вне установленных мест его сбора, складирования и хранения;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складировать тару вне торговых сооружений, оставлять на улице тару и мусор после окончания передвижной мелкорозничной торговли;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складировать, хранить строительные материалы (песок, глину, кирпич, блоки, доски и др.), металлолом, запчасти от машин, грунт, навоз, отходы производства и потребления, твердые коммунальные отходы на проезжей части, тротуарах, отмостках, обочинах дорог, на территории, прилегающей к индивидуальным жилым домам;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выкачивать воду из траншеи (котлована), кессонов на проезжую часть, тротуары и придорожные кюветы;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осуществлять слив, сброс жидких отходов, сточных вод из канализации жилых домов, с предприятий и организаций в колодцы инженерных сетей, на проезжую часть и на обочины дорог, на территорию, прилегающую к домовладениям, населенным пунктам, на рельеф местности;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 засорять, засыпать водоотводные канавы;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 перевозить производственный, бытовой, строительный мусор иные отходы производства и потребления I - IV класса опасности не в специально оборудованных транспортных средствах, сыпучие грузы необходимо перевозить в автотранспорте с кузовом и покрытием, исключающим загрязнение территории населенных пунктов;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 повреждать и самовольно переставлять малые архитектурные формы (скамейки, вазы, урны и т.д.);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 размещать транспортные средства, механизмы и иную технику на территории населенных пунктов вне специально отведенных для этого мест; 10) использовать проезжую часть, проезды и земли общего пользования для стоянки и размещения на долговременное хранение автотранспортных средств; 11) производить ремонт автотранспортных средств и механизмов, а также любые ремонтные работы, связанные с шумом, выделением, сбросом вредных веществ во дворах многоквартирных домов и на территории населенных пунктов вне специально отведенных мест;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12) осуществлять движение своим ходом машин и механизмов на гусеничном ходу по проезжей части улиц и дорог с асфальтобетонным покрытием;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13) загромождать и засорять придомовые территории многоквартирных домов металлическим ломом, строительным и бытовым мусором, домашней утварью и другими материалами;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14) засорять и засыпать водоемы;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15) засорять и засыпать родники, загрязнять их сточными водами, использовать родники не по назначению;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16) производить мойку и чистку автотранспортных средств у водоемов, водостоков и водоразборных колонок, на тротуарах, газонах, сливать на землю и в водоемы технические жидкости. Мойку и чистку автотранспортных средств производить в специально оборудованных для этого местах;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17) размещать временные сооружения, объекты мелкорозничной торговли без согласования с администрацией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18) сжигать любого вида мусор, листву, тару, бытовые отходы, крупногабаритный и строительный мусор;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19) самовольно устанавливать различного типа ограждения, столбы и иные сооружения вне земельного участка, находящегося в собственности юридических и физических лиц, принадлежащего им на праве собственности, аренды или ином законном праве;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20) размещать на заборах, фасадах зданий объявления, вывески, афиши, агитационные материалы, выполнять надписи;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21) осуществлять производство земляных работ без оформления разрешения на право производства земляных работ в порядке, установленном нормативными правовыми актами администрации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22) открывать крышки люков камер и колодцев на подземных сооружениях и опускаться в них без разрешения соответствующих эксплуатационных организаций; </w:t>
      </w:r>
    </w:p>
    <w:p>
      <w:pPr>
        <w:pStyle w:val="HTMLPreformatted"/>
        <w:jc w:val="both"/>
        <w:rPr>
          <w:rFonts w:ascii="Liberation Mono" w:hAnsi="Liberation Mono" w:cs="Liberation Mono"/>
        </w:rPr>
      </w:pPr>
      <w:r>
        <w:rPr>
          <w:rFonts w:cs="Times New Roman" w:ascii="Times New Roman" w:hAnsi="Times New Roman"/>
          <w:sz w:val="28"/>
          <w:szCs w:val="28"/>
        </w:rPr>
        <w:t xml:space="preserve">23) накапливать и размещать отходы и мусор в несанкционированных местах на территории всего городского округа. 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  </w:t>
      </w:r>
    </w:p>
    <w:p>
      <w:pPr>
        <w:pStyle w:val="HTMLPreformatted"/>
        <w:jc w:val="both"/>
        <w:rPr>
          <w:rFonts w:ascii="Liberation Mono" w:hAnsi="Liberation Mono" w:cs="Liberation Mono"/>
        </w:rPr>
      </w:pPr>
      <w:r>
        <w:rPr>
          <w:rFonts w:cs="Times New Roman" w:ascii="Times New Roman" w:hAnsi="Times New Roman"/>
          <w:sz w:val="28"/>
          <w:szCs w:val="28"/>
        </w:rPr>
        <w:t xml:space="preserve">24) на площадях зеленых насаждений запрещается: ломать деревья, кустарники, сучья и ветви, срывать листья и цветы, надрезать деревья для добычи сока, смолы, наносить им механические повреждения, разбивать палатки и разводить костры, засорять газоны, цветники, ездить на велосипедах, лошадях, и автотранспортных средствах, пасти скот, добывать растительную землю, песок и производить другие раскопки.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III. ПОРЯДОК СОДЕРЖАНИЯ ТЕРРИТОРИЙ ИНДИВИДУАЛЬНОГО ЖИЛИЩНОГО ФОНДА</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3.1. Собственники индивидуальных жилых домов обязаны: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содержать отведенную территорию в соответствии с действующими санитарными, экологическими, техническими и противопожарными нормами и правилами;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постоянно поддерживать в исправном состоянии фасады жилых домов, ограждения, другие постройки, систематически производить их ремонт и окраску;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организовать сбор и вывоз коммунальных отходов со своей территории, любым законным способом (заключение договоров, применение талонной системы или иными способами). Запрещается вывоз мусора с территории частного сектора на контейнерные площадки многоквартирных домов без оплаты соответствующих услуг.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обеспечивать сохранность имеющихся перед строением зеленых насаждений, проводить посадку кустарников, создавать газоны и (или) цветники, поливать их в сухую погоду, подстригать живые изгороди, газоны;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очищать канавы и трубы для стока воды, проходящие перед застроенным участком, в весенний период обеспечить проход талых вод до кювета проезжей части;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 иметь на домах указатели с обозначением наименований улиц, переулков и номерных знаков;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 обеспечивать свободный доступ к инженерным коммуникациям на отведенной территории.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3.2. На собственников индивидуальных жилых домов возлагается обязанность по постоянному уходу и содержанию в надлежащем состоянии земельных участков, находящихся в собственности, пользовании, аренде, не допускать захламления закрепленной территории. Размещение сырья, материалов, грунта, оборудования за пределами земельных участков, отведенных под застройку индивидуальными жилыми домами, без согласования с администрацией Тугулымского городского округа, запрещено.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3.3. Загрязнение питьевых колодцев запрещается.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3.4. Самовольное использование земельных участков для личных нужд (складирование строительных материалов, дров, сена, грунта, гумуса, торфа, возведение сараев, погребов, бань, гаражей, загонов для животных и птиц, свалка ТБО и т.д.) вне границ отведенной владельцу территории запрещается. 3.5. При размещении на территории, прилегающей к жилым домам, строительных материалов, дров, сена, грунта, гумуса, торфа, администрацией Тугулымского городского округа выдается предписание об устранении выявленного нарушения  на срок не более одной недели.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3.6. На собственников индивидуальных жилых домов возлагается ответственность за ликвидацию последствий пожара дома в течение одного календарного месяца с момента выдачи предписания, уполномоченного лица. Собственник обязан самостоятельно или по договору со специализированной организацией обеспечить вывоз отходов, образовавшихся в результате разборки дома и ликвидации пожара, с отведенной и прилегающей территории в специально отведенные места. </w:t>
      </w:r>
    </w:p>
    <w:p>
      <w:pPr>
        <w:pStyle w:val="HTMLPreformatted"/>
        <w:jc w:val="center"/>
        <w:rPr>
          <w:rFonts w:ascii="Liberation Mono" w:hAnsi="Liberation Mono" w:cs="Liberation Mono"/>
        </w:rPr>
      </w:pPr>
      <w:r>
        <w:rPr>
          <w:rFonts w:cs="Times New Roman" w:ascii="Times New Roman" w:hAnsi="Times New Roman"/>
          <w:sz w:val="28"/>
          <w:szCs w:val="28"/>
        </w:rPr>
        <w:t>IV. СОДЕРЖАНИЕ, ВНЕШНЕЕ БЛАГОУСТРОЙСТВО ЖИЛЫХ И</w:t>
      </w:r>
    </w:p>
    <w:p>
      <w:pPr>
        <w:pStyle w:val="HTMLPreformatted"/>
        <w:jc w:val="center"/>
        <w:rPr>
          <w:rFonts w:ascii="Liberation Mono" w:hAnsi="Liberation Mono" w:cs="Liberation Mono"/>
        </w:rPr>
      </w:pPr>
      <w:r>
        <w:rPr>
          <w:rFonts w:cs="Times New Roman" w:ascii="Times New Roman" w:hAnsi="Times New Roman"/>
          <w:sz w:val="28"/>
          <w:szCs w:val="28"/>
        </w:rPr>
        <w:t>НЕЖИЛЫХ ЗДАНИЙ</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4.1. Содержание и внешнее благоустройство жилых и нежилых зданий является обязанностью и осуществляется физическими и юридическими лицами, в собственности, хозяйственном ведении, оперативном управлении, обслуживании или аренде которых находятся данные объекты. Собственники зданий, обслуживающие организации должны своевременно принимать меры по ремонту, реставрации и покраске фасадов, их отдельных внешних конструктивных элементов (балконов, лоджий, пожарных лестниц, водосточных труб и т.д.), подъездов и входов, а также производят иные работы по поддержанию надлежащего состояния здания. Жилые, административные, производственные и общественные здания должны быть оборудованы наружным освещением, указателями наименования улицы, переулка, номера здания с подсветкой в темное время суток, а многоквартирные, кроме того, указателями номеров подъездов и квартир. Указатели должны содержаться в чистоте и в исправном состоянии - эта обязанность возлагается на балансодержателей зданий. Вывески с нанесенной на них обязательной информацией располагаются у главного входа в административное, общественное здание. Вывески нескольких организаций, находящихся в одном здании, выполняются из одного материала одинакового формата и компонуются в единый блок. Указатели расположения пожарных гидрантов, полигонометрические знаки (стенные реперы), расположения подземного газопровода, а также другие указатели расположения объектов городского хозяйства, различные сигнальные устройства следует размещать на цоколях зданий, допускается размещение на фасаде здания при условии сохранения отделки фасада. Собственники зданий, обслуживающие организации обеспечивают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немедленную уборку территории после производства данных работ. Отделка фасадов, благоустройство территории вблизи строящихся объектов недвижимости производится на основании эскизных проектов, согласованных в отделе жизнеобеспечения и строительства администрации Тугулымского городского округа. Запрещается самовольное осуществление реконструкции, изменение архитектурного облика общественных зданий, торговых объектов, объектов, предназначенных для обслуживания населения, объектов массового посещения людей (упразднение архитектурных деталей, пробивка и заделка проемов, окрашивание и отделка фасадов и цоколей зданий), обустройство автостоянок, тротуаров. Внешний вид фасадов здания, строения, сооружения должен соответствовать согласованному в установленном порядке архитектурно-градостроительному облику объекта капитального строительства, информация о котором содержится в паспорте фасадов и (или) эскизном проекте. Запрещается самовольное переоборудование фасадов зданий  и его конструктивных элементов (за исключением индивидуальных жилых домов) без согласования с отделом жизнеобеспечения и строительства. Запрещается загромождение балконов предметами домашнего обихода. Запрещается крепление к стенам зданий различных растяжек, подвесок, вывесок, указателей, флагштоков и других устройств без согласования с администрацией Тугулымского городского округа. К обязательным мероприятиям по благоустройству территории вновь строящихся или уже функционирующих общественных зданий, торговых объектов, объектов, предназначенных для обслуживания населения, объектов массового посещения людей относятся асфальтирование, разметка, ограждение, освещение автостоянки для сотрудников и посетителей, обустройство тротуаров, клумб, газонов, скамеек, установка урн. При проектировании объектов благоустройства жилой среды, улиц и дорог, объектов культурно-бытового обслуживания необходимо обеспечить доступность среды населенных пунктов для маломобильных групп населения. </w:t>
      </w:r>
    </w:p>
    <w:p>
      <w:pPr>
        <w:pStyle w:val="HTMLPreformatted"/>
        <w:jc w:val="both"/>
        <w:rPr>
          <w:rFonts w:ascii="Liberation Mono" w:hAnsi="Liberation Mono" w:cs="Liberation Mono"/>
        </w:rPr>
      </w:pPr>
      <w:r>
        <w:rPr>
          <w:rFonts w:cs="Times New Roman" w:ascii="Times New Roman" w:hAnsi="Times New Roman"/>
          <w:sz w:val="28"/>
          <w:szCs w:val="28"/>
        </w:rPr>
        <w:t xml:space="preserve">4.2. Благоустройство придомовой территории многоквартирных домов осуществляется собственниками жилых помещений, управляющей компанией и производится в соответствии с требованиями Правил и норм технической эксплуатации жилищного фонда, утвержденных Постановлением Госстроя России от 27.09.2003 № 170. Контейнерные площадки должны содержаться в соответствии с санитарными нормами и правилами. Вывоз мусора с контейнерных площадок осуществляется в летний период ежедневно, в зимний - не реже одного раза в три дня. Уборка контейнерных площадок производится ежедневно. Ответственность за содержание контейнерной площадки, вывоз твердых бытовых отходов и крупногабаритного мусора несут собственники помещений и (или) уполномоченные ими лица. В зоне индивидуальной жилой застройки вывоз твердых коммунальных отходов и жидких отходов осуществляется за счет домовладельцев или лиц, проживающих в домах. Владельцы индивидуальных жилых домов обязаны собирать твердые бытовые отходы только в местах, специально оборудованных в соответствии с санитарными правилами и нормами. Придомовые территории многоквартирных жилых домов должны иметь оборудованные детские, спортивные площадки, площадки для чистки предметов домашнего обихода, контейнерные площадки и урны, площадки для временной стоянки автотранспортных средств, искусственное освещение. Тротуары, проезды с асфальтовым покрытием на дворовых территориях должны быть очищены от снега и наледи на всю ширину тротуара или проезда.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На придомовых территориях необходимо обеспечивать надежную защиту водопроводных и канализационных сетей и устройств. Физические и юридические лица, в ведении которых находится обслуживание территории,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 Крыши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Организации по обслуживанию жилищного фонда с наступлением весны должны организовать: промывку и расчистку канавок для обеспечения оттока воды в местах, где это требуется для нормального отвода талых вод, систематический сгон талой воды к люкам и приемным колодцам ливневой сети, общую очистку дворовых территорий после окончания таяния снега, собирая и удаляя мусор, оставшийся снег и лед. В летний период должно осуществляться подметание придомовых территорий, внутриквартальных проездов и тротуаров от смёта, пыли и мелкого бытового мусора, их мойка. Деревья, кустарники, газоны, цветники, находящиеся на придомовых территориях многоквартирных жилых домов, должны содержаться в соответствии с агротехническими требованиями (своевременный полив, прополка, очистка от мусора и листвы, выкашивание травы, вырезка сухих и аварийных ветвей и деревьев, стрижка кустов и т.п.).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4.3. Собственники нежилых помещений в многоквартирных домах обеспечивают содержание фасадов, частей фасадов, элементов фасадов, переустроенных по индивидуальным проектам, согласованным с архитектором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Содержание фасадов включает: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проведение поддерживающего ремонта и восстановление конструктивных элементов и отделки фасадов, в том числе входных дверей и козырьков, крылец и отдельных ступеней, ограждений спусков и лестниц, витрин, декоративных деталей и иных конструктивных элементов;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очистку от снега и льда козырьков, удаление наледи с крылец, спусков и лестниц;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очистку и (или) промывку поверхностей фасадов в зависимости от их состояния и условий эксплуатации;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влажную уборку окон и витрин, вывесок и указателей;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устранение надписей и изображений, не соответствующих индивидуальным проектам.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4.4. Запрещается производить какие-либо изменения балконов, лоджий (за исключением остекления) в отсутствие утвержденной проектной документации.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4.5. Устройство и содержание объектов наружного освещения является обязанностью администрации Тугулымского городского округа,  физических и юридических лиц, в собственности, хозяйственном ведении, оперативном управлении, обслуживании или аренде которых находятся данные объекты. На территории населенных пунктов наружному освещению в темное время суток подлежат улицы, дороги, площади, мосты, общественные и рекреационные территории, придомовые территории многоквартирных жилых домов, микрорайонов, индивидуальных жилых домов, территории промышленных и коммунальных организаций. Количество не горящих светильников не должно превышать 3% на основных площадях, магистралях и улицах и 5% - на других территориях.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 Запрещается размещение любых видов объявлений, афиш на опорах освещения и контактной сети без согласования с их балансодержателем. </w:t>
      </w:r>
    </w:p>
    <w:p>
      <w:pPr>
        <w:pStyle w:val="HTMLPreformatted"/>
        <w:jc w:val="both"/>
        <w:rPr>
          <w:rFonts w:ascii="Liberation Mono" w:hAnsi="Liberation Mono" w:cs="Liberation Mono"/>
        </w:rPr>
      </w:pPr>
      <w:r>
        <w:rPr>
          <w:rFonts w:cs="Times New Roman" w:ascii="Times New Roman" w:hAnsi="Times New Roman"/>
          <w:sz w:val="28"/>
          <w:szCs w:val="28"/>
        </w:rPr>
        <w:t xml:space="preserve">4.6. Содержание зон отдыха, территорий общего пользования осуществляется администрацией Тугулымского городского округа, собственниками объектов отдыха и массового посещения населения. Установка временных сооружений, малых архитектурных форм на территориях общего пользования (парки, скверы, сады, площади, улицы и т.д.) согласовывается с архитектором района. Внешний облик временного сооружения должен соответствовать архитектурному облику территории. Владельцы обязаны содержать в надлежащем санитарном состоянии временные сооружения, сооружения малых архитектурных форм и производить их своевременный ремонт. Владельцы нестационарных торговых объектов должны обеспечить надлежащее санитарное и эстетическое состояние объектов: удалять надписи, рисунки, объявления с внешней стороны объекта, ежегодно производить покраску объекта. Скамейки, урны и вазоны в скверах, садах, парках устанавливаются и содержатся организациями, осуществляющими содержание указанных объектов. Установка и ремонт урн осуществляется по мере необходимости организациями, на которые возложена обязанность по содержанию территорий, где установлены урны. Урны, установленные на остановках пассажирского транспорта, очищаются и дезинфицируются организациями, осуществляющими уборку остановок, а урны, установленные у торговых объектов, - торговыми организациями. Юридические и физические лица, осуществляющие на территории округа деятельность, связанную с посещением населением объектов, владельцами которых они являются, самостоятельно за свой счет приобретают и устанавливают достаточное количество урн у данных объектов.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V. ОБЩИЕ ТРЕБОВАНИЯ К ОГРАЖДЕНИЯМ</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5.1. Основными видами ограждений являются: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газонные ограждения (высота 0,3 - 0,5 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ограды - низкие (высота 0,5 - 1,0 м), средние (высота 1,0 - 1,7 м), высокие (высота 1,8 - 3,0 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ограждения спортивных площадок (высота 2,5 - 3,0 м); </w:t>
      </w:r>
    </w:p>
    <w:p>
      <w:pPr>
        <w:pStyle w:val="HTMLPreformatted"/>
        <w:jc w:val="both"/>
        <w:rPr>
          <w:rFonts w:ascii="Liberation Mono" w:hAnsi="Liberation Mono" w:cs="Liberation Mono"/>
        </w:rPr>
      </w:pPr>
      <w:r>
        <w:rPr>
          <w:rFonts w:cs="Times New Roman" w:ascii="Times New Roman" w:hAnsi="Times New Roman"/>
          <w:sz w:val="28"/>
          <w:szCs w:val="28"/>
        </w:rPr>
        <w:t xml:space="preserve">4) декоративные ограждения (высота 1,2 - 2,0 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технические ограждения (высота определяется в соответствии с законодательством).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5.2. Ограждения должны иметь единый характер в границах объекта комплексного благоустройства. Архитектурно-художественное решение ограждений должно соответствовать характеру архитектурного окружения. </w:t>
      </w:r>
    </w:p>
    <w:p>
      <w:pPr>
        <w:pStyle w:val="HTMLPreformatted"/>
        <w:jc w:val="both"/>
        <w:rPr>
          <w:rFonts w:ascii="Liberation Mono" w:hAnsi="Liberation Mono" w:cs="Liberation Mono"/>
        </w:rPr>
      </w:pPr>
      <w:r>
        <w:rPr>
          <w:rFonts w:cs="Times New Roman" w:ascii="Times New Roman" w:hAnsi="Times New Roman"/>
          <w:sz w:val="28"/>
          <w:szCs w:val="28"/>
        </w:rPr>
        <w:t xml:space="preserve">5.3. На территориях общественного, рекреационного назначения не допускается проектирование глухих и железобетонных ограждений. Рекомендуется применение декоративных металлических ограждений. Ограждение земельных участков многоквартирных жилых домов не допускается.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VI. ПРОВЕДЕНИЕ РАБОТ ПРИ СТРОИТЕЛЬСТВЕ, РЕМОНТЕ, РЕКОНСТРУКЦИИ КОММУНИКАЦИЙ</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письменного разрешения на право проведения земляных работ, выданного отделом жизнеобеспечения и строительства администрации Тугулымского городского округа.  Аварийные работы рекомендуется начинать владельцам сетей по телефонограмме или по уведомлению администрации Тугулымского городского округа с последующим оформлением разрешения в 3-дневный срок.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6.2.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6.3. Прокладка подземных коммуникаций под проезжей частью улиц, проездами, а также под тротуарами допускается соответствующим организациям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6.4. Все разрушения и повреждения дорожных покрытий, озеленения и элементов благоустройства, произведенные по вине строительных, ремонтных организаций и иных лиц при производстве работ по прокладке подземных коммуникаций или других видов строительных работ, следует ликвидировать в полном объеме организациям, производившим работы, в сроки, согласованные с администрацией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6.5. До начала производства работ по разрытию необходимо: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установить дорожные знаки; </w:t>
      </w:r>
    </w:p>
    <w:p>
      <w:pPr>
        <w:pStyle w:val="HTMLPreformatted"/>
        <w:jc w:val="both"/>
        <w:rPr>
          <w:rFonts w:ascii="Liberation Mono" w:hAnsi="Liberation Mono" w:cs="Liberation Mono"/>
        </w:rPr>
      </w:pPr>
      <w:r>
        <w:rPr>
          <w:rFonts w:cs="Times New Roman" w:ascii="Times New Roman" w:hAnsi="Times New Roman"/>
          <w:sz w:val="28"/>
          <w:szCs w:val="28"/>
        </w:rPr>
        <w:t xml:space="preserve">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Ограждение следует содержать в опрятном виде, при производстве работ вблизи проезжей части необходимо обеспечить видимость для водителей и пешеходов. Ограждение следует выполнять сплошным и надежным, предотвращающим попадание посторонних на стройплощадку.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6.6.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6.7. В разрешении устанавливаются сроки и условия производства работ.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6.8. До начала земляных работ, лицам, осуществляющим производство земляных работ, следует согласовать положение коммуникаций и зафиксировать в письменной форме особые условия производства работ. Особые условия подлежат неукоснительному соблюдению лицами, производящими земляные работы.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6.9. При производстве работ на проезжей части улиц асфальт и щебень в пределах траншеи необходимо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застроенных территориях грунт рекомендуется немедленно вывозить. При необходимости, лица производящие земляные работы, могут обеспечивать планировку грунта на отвале.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6.10. Траншеи на газонах необходимо засыпать местным грунтом с уплотнением, восстановлением плодородного слоя и посевом травы.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6.11.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pPr>
        <w:pStyle w:val="HTMLPreformatted"/>
        <w:jc w:val="both"/>
        <w:rPr>
          <w:rFonts w:ascii="Liberation Mono" w:hAnsi="Liberation Mono" w:cs="Liberation Mono"/>
        </w:rPr>
      </w:pPr>
      <w:r>
        <w:rPr>
          <w:rFonts w:cs="Times New Roman" w:ascii="Times New Roman" w:hAnsi="Times New Roman"/>
          <w:sz w:val="28"/>
          <w:szCs w:val="28"/>
        </w:rPr>
        <w:t xml:space="preserve">6.12.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рекомендуется устранять организациям или лицам, получившим разрешение на производство работ. Наледи, образовавшиеся из-за аварий на подземных коммуникациях, рекомендуется ликвидировать организациям - владельцам коммуникаций либо на основании договора за счет владельцев коммуникаций. 6.13. Проведение работ при строительстве, ремонте, реконструкции коммуникаций по просроченным разрешениям  признаются самовольным проведением земляных работ и влекут наступление ответственности предусмотренной действующим законодательством.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VII. СОДЕРЖАНИЕ СТРОИТЕЛЬНЫХ ПЛОЩАДОК</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7.1. Лица, осуществляющие строительство, реконструкцию и капитальный ремонт объектов капитального строительства на территории Тугулымского городского округа, обязаны: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обустроить строительную площадку в подготовительный период в соответствии с проектом организации строительства до начала основных работ; 2) установить на границе участка строительства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 При установке информационного щита обеспечивается его устойчивость к внешним воздействиям. При строительстве, реконструкции линейных объектов и сетей инженерно-технического обеспечения размещение графического изображения строящегося (реконструируемого) объекта не требуется;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3) 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обеспечить освещение опасных мест. Пути пешеходного прохода должны учитывать беспрепятственный проезд маломобильных групп населения;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4) 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должны исключить вынос грязи за пределы строительной площадки;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5) разместить на территории строительной площадки бытовые и подсобные помещения для рабочих и служащих, туалетные кабины, временные здания и сооружения производственного и складского назначения в соответствии с проектной документацией, оборудовать места для установки строительной техники;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6) складировать грунт, строительные материалы, изделия и конструкции в соответствии с проектом организации строительства;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 оборудовать место для размещения контейнеров для сбора твердых бытовых отходов, установить бункер-накопитель для сбора строительного мусора;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 установить ограждение сохраняемых деревьев. При производстве строительных работ не допускается не предусмотренное проектной документацией сведение древесно-кустарниковой растительности, повреждение корней деревьев и засыпка грунтом корневых шеек и стволов растущих деревьев и кустарников; </w:t>
      </w:r>
    </w:p>
    <w:p>
      <w:pPr>
        <w:pStyle w:val="HTMLPreformatted"/>
        <w:jc w:val="both"/>
        <w:rPr>
          <w:rFonts w:ascii="Liberation Mono" w:hAnsi="Liberation Mono" w:cs="Liberation Mono"/>
        </w:rPr>
      </w:pPr>
      <w:r>
        <w:rPr>
          <w:rFonts w:cs="Times New Roman" w:ascii="Times New Roman" w:hAnsi="Times New Roman"/>
          <w:sz w:val="28"/>
          <w:szCs w:val="28"/>
        </w:rPr>
        <w:t xml:space="preserve">9) обустроить временные подъездные пути с учетом требований по предотвращению повреждений древесно-кустарниковой растительности;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10) оборудовать транспортные средства, перевозящие сыпучие грузы, специальными съемными тентами, препятствующими загрязнению автомобильных дорог;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11) обеспечить при производстве строительных работ сохранность сетей инженерно-технического обеспечения, зеленых насаждений и малых архитектурных форм;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12) 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13) осуществлять регулярный (не реже одного раза в неделю) вывоз строительного мусора и твердых бытовых отходов со строительных площадок; 14) предусмотреть наличие фасадной защитной сетки, препятствующей распространению строительной пыли и мелкого мусора, в случае производства работ по отделке фасадов строящихся (реконструируемых) объектов и ремонту фасадов существующих зданий. Ограждения из сеток навешиваются на специально изготовленные для этих целей крепления по фасаду здания или на конструкцию лесов (при их наличии). Сетки натягиваются и закрепляются по всей поверхности фасада для придания им устойчивости. Не допускается наличие искривлений и провисаний фасадной сетки;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15) на фасадах объектов капитального строительства с длительными сроками строительства рекомендуется размещение баннеров;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16) установить по периметру строительной площадки ограждение, согласно проекту организации строительства.</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7.2. При производстве строительных работ застройщику запрещается: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1) вынос грязи (в том числе грунта, бетонной смеси) транспортными средствами с территорий строительных площадок;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2) сбрасывание строительного мусора с крыш и из окон строящихся зданий без применения закрытых лотков (желобов), бункеров-накопителей, закрытых ящиков или контейнеров, а также складирование строительного мусора, твердых бытовых отходов, грунта, строительных материалов, изделий и конструкций вне специально отведенных для этого мест или за пределами строительной площадки; </w:t>
      </w:r>
    </w:p>
    <w:p>
      <w:pPr>
        <w:pStyle w:val="HTMLPreformatted"/>
        <w:jc w:val="both"/>
        <w:rPr>
          <w:rFonts w:ascii="Liberation Mono" w:hAnsi="Liberation Mono" w:cs="Liberation Mono"/>
        </w:rPr>
      </w:pPr>
      <w:r>
        <w:rPr>
          <w:rFonts w:cs="Times New Roman" w:ascii="Times New Roman" w:hAnsi="Times New Roman"/>
          <w:sz w:val="28"/>
          <w:szCs w:val="28"/>
        </w:rPr>
        <w:t xml:space="preserve">3) складирование строительного мусора в местах сбора и (или) накопления твердых бытовых отходов, сжигание твердых бытовых отходов и строительного мусора.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VIII. ОБЩИЕ ТРЕБОВАНИЯ К ВЫВЕСКАМ</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 Размещение вывесок является изменением фасада здания. Все вывески, размещаемые на территории Тугулымского городского округа согласовываются с отделом жизнеобеспечения и строительства администрации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8.2. Вывеска должна располагаться на фасаде здания (над входом в помещение или над окнами) в границах занимаемого организацией помещения.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8.3. Внешний вид вывески должен соответствовать архитектурному стилю здания. Вывеска не должна закрывать окна и декоративные элементы фасада.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8.4. Не допускается размещение вывесок ближе 3 м от мемориальных досок и 2 м от знаков адресации.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8.5. Размещение вместо вывесок устройств, транслирующих меняющиеся надписи или изображения (электронные табло ("бегущая строка"), светодиодные видеоэкраны), не допускается. Устройства, транслирующих меняющиеся надписи или изображения (электронные табло ("бегущая строка"), светодиодные видеоэкраны), размещаются в порядке, установленном для размещения рекламных конструкций.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8.6. При размещении новой вывески на фасаде нужно принимать во внимание расположение и размер существующих вывесок. Вывески нескольких организаций, располагаемые в пределах одного фасада, должны размещаться на одном уровне, иметь одинаковую высоту лицевой панели и отступать на равное расстояние от плоскости фасада.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8.7. Максимальная высота вывески организации, размещающейся на первом этаже здания, должна быть не более расстояния от верхнего края дверного проема или окон первого этажа до перекрытия между первым и вторым этажами.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8.8. Нижний край вывески должен находиться не ниже 2,5 м от уровня земли (за исключением вывесок организаций, расположенных в цокольном этаже).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8.9. Вывеска не должна выступать от плоскости фасада более чем на 0,5 м (за исключением панелей-кронштейнов и размещения вывесок на козырьках входных групп).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8.10. Элементы крепления вывесок должны быть закрыты. В случае если элементы крепления вывески видны (например, у панелей-кронштейнов), указанные элементы должны быть окрашены либо в черный цвет, либо в цвет здания, либо в цвет вывески, либо быть цвета материала, не требующего окраски (нержавеющий металл, камень, дерево). Элементы крепежа (болты, гайки, шурупы и т.д.) должны быть скрыты декоративными заглушками или покрашены в цвет крепления.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8.11. Вывески могут иметь наружную или внутреннюю подсветку. Свет от вывесок не должен попадать в окна жилых помещений.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8.12. Вывески допускается размещать: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 на фасаде здания над входом в помещение и над окнами помещения, занимаемое организацией;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 на козырьке входной группы;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 на балконе, если вход в помещение, занимаемое организацией, находится непосредственно под указанным балконом (при наличии письменного согласия собственников соответствующего помещения);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 внутри помещения за стеклом витрин;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на маркизах;</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 на крыше здания в виде крышной установки, если организация занимает все здание.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8.13. Вывески нельзя размещать на ограждениях, воротах и в арках, над окнами цокольного этажа, над проемами арок.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8.14. Вывески должны выполняться из современных прочных материалов с высокими декоративными и эксплуатационными характеристиками (металл, пластик, стекло, оргстекло и т.п.).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8.15. Вывески необходимо проектировать, изготавливать и монтировать с учетом каждой конкретной ситуации, установка дополнительных защитных конструкций (защитных экранов, козырьков для вывесок и т.п.) не допускается. 8.16. Информация, размещаемая на вывеске, должна быть выполнена на русском языке. Размещение названий организации на иностранном языке допускается при наличии регистрации фирменного наименования, логотипа или товарного знака с расшифровкой профиля деятельности указанной организации на русском языке в объеме не менее 50% от общих габаритов.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8.17. Недопустимо использование в текстах информационного оформления предприятий иностранных слов, выполненных в русской транслитерации (за исключением зарегистрированных товарных знаков и знаков обслуживания, исключительным правом на использование которых обладает владелец информационной конструкции). </w:t>
      </w:r>
    </w:p>
    <w:p>
      <w:pPr>
        <w:pStyle w:val="HTMLPreformatted"/>
        <w:jc w:val="both"/>
        <w:rPr>
          <w:rFonts w:ascii="Liberation Mono" w:hAnsi="Liberation Mono" w:cs="Liberation Mono"/>
        </w:rPr>
      </w:pPr>
      <w:r>
        <w:rPr>
          <w:rFonts w:cs="Times New Roman" w:ascii="Times New Roman" w:hAnsi="Times New Roman"/>
          <w:sz w:val="28"/>
          <w:szCs w:val="28"/>
        </w:rPr>
        <w:t xml:space="preserve">8.18. Текст, размещаемый на вывесках, должен быть хорошо читаем. Размер шрифта должен определяться размером поля вывески. Текст не должен занимать всю вывеску. На вывеске должно оставаться свободное от надписей и изображений поле для лучшей читаемости и ясности восприятия информации. 8.19. Владелец обязан содержать вывеску в надлежащем виде: систематически очищать ее от загрязнений, ремонтировать и заменять на новую по мере необходимости. </w:t>
      </w:r>
    </w:p>
    <w:p>
      <w:pPr>
        <w:pStyle w:val="HTMLPreformatted"/>
        <w:jc w:val="both"/>
        <w:rPr>
          <w:rFonts w:ascii="Liberation Mono" w:hAnsi="Liberation Mono" w:cs="Liberation Mono"/>
        </w:rPr>
      </w:pPr>
      <w:r>
        <w:rPr>
          <w:rFonts w:cs="Times New Roman" w:ascii="Times New Roman" w:hAnsi="Times New Roman"/>
          <w:sz w:val="28"/>
          <w:szCs w:val="28"/>
        </w:rPr>
        <w:t xml:space="preserve">8.20. Владелец обязан восстановить нарушенную отделку фасада после установки (демонтажа) вывески в срок не более 7 суток. </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center"/>
        <w:rPr>
          <w:rFonts w:ascii="Liberation Mono" w:hAnsi="Liberation Mono" w:cs="Liberation Mono"/>
        </w:rPr>
      </w:pPr>
      <w:r>
        <w:rPr>
          <w:rFonts w:cs="Times New Roman" w:ascii="Times New Roman" w:hAnsi="Times New Roman"/>
          <w:sz w:val="28"/>
          <w:szCs w:val="28"/>
        </w:rPr>
        <w:t>IX. ОТВЕТСТВЕННОСТЬ ЗА НАРУШЕНИЕ ПРАВИЛ БЛАГОУСТРОЙСТВА ТУГУЛЫМСКОГО ГОРОДСКОГО ОКРУГА</w:t>
      </w:r>
    </w:p>
    <w:p>
      <w:pPr>
        <w:pStyle w:val="HTMLPreformatted"/>
        <w:jc w:val="both"/>
        <w:rPr>
          <w:rFonts w:ascii="Liberation Mono" w:hAnsi="Liberation Mono" w:cs="Liberation Mono"/>
        </w:rPr>
      </w:pPr>
      <w:r>
        <w:rPr>
          <w:rFonts w:cs="Liberation Mono" w:ascii="Liberation Mono" w:hAnsi="Liberation Mono"/>
        </w:rPr>
        <w:t xml:space="preserve">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9.1. За нарушение настоящих Правил, уполномоченные должностные лица администрации Тугулымского городского округа и ее территориальных органов, вправе составлять протоколы об административных правонарушениях, предусмотренных Законом Свердловской области «Об административных правонарушениях на территории Свердловской области».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9.2. Должностные лица, указанные в пункте 9.1. настоящих Правил вправе выдать предписание об устранении выявленного нарушения и контролировать его исполнение.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9.3. Дела об административных правонарушениях рассматриваются административной комиссией Тугулымского городского округа. </w:t>
      </w:r>
    </w:p>
    <w:p>
      <w:pPr>
        <w:pStyle w:val="HTMLPreformatted"/>
        <w:jc w:val="both"/>
        <w:rPr>
          <w:rFonts w:ascii="Times New Roman" w:hAnsi="Times New Roman" w:cs="Times New Roman"/>
          <w:sz w:val="28"/>
          <w:szCs w:val="28"/>
        </w:rPr>
      </w:pPr>
      <w:r>
        <w:rPr>
          <w:rFonts w:cs="Times New Roman" w:ascii="Times New Roman" w:hAnsi="Times New Roman"/>
          <w:sz w:val="28"/>
          <w:szCs w:val="28"/>
        </w:rPr>
        <w:t xml:space="preserve">9.4. Лица виновные в нарушении настоящих Правил привлекаются к административной ответственности. </w:t>
      </w:r>
    </w:p>
    <w:p>
      <w:pPr>
        <w:pStyle w:val="HTMLPreformatted"/>
        <w:jc w:val="both"/>
        <w:rPr>
          <w:rFonts w:ascii="Liberation Mono" w:hAnsi="Liberation Mono" w:cs="Liberation Mono"/>
        </w:rPr>
      </w:pPr>
      <w:r>
        <w:rPr>
          <w:rFonts w:cs="Times New Roman" w:ascii="Times New Roman" w:hAnsi="Times New Roman"/>
          <w:sz w:val="28"/>
          <w:szCs w:val="28"/>
        </w:rPr>
        <w:t xml:space="preserve">9.5. Оплата административного штрафа не освобождает виновных лиц от обязанности устранить допущенное нарушение. Вред, причиненный в результате нарушения настоящих Правил, возмещается виновными лицами в порядке, установленном действующим законодательством. </w:t>
      </w:r>
    </w:p>
    <w:p>
      <w:pPr>
        <w:pStyle w:val="Normal"/>
        <w:widowControl w:val="false"/>
        <w:numPr>
          <w:ilvl w:val="0"/>
          <w:numId w:val="0"/>
        </w:numPr>
        <w:ind w:firstLine="539"/>
        <w:jc w:val="center"/>
        <w:outlineLvl w:val="1"/>
        <w:rPr/>
      </w:pPr>
      <w:r>
        <w:rPr/>
      </w:r>
    </w:p>
    <w:sectPr>
      <w:headerReference w:type="default" r:id="rId2"/>
      <w:footerReference w:type="default" r:id="rId3"/>
      <w:type w:val="nextPage"/>
      <w:pgSz w:w="11906" w:h="16838"/>
      <w:pgMar w:left="1418" w:right="851" w:header="709" w:top="1134" w:footer="709" w:bottom="1134"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Segoe UI">
    <w:charset w:val="cc"/>
    <w:family w:val="roman"/>
    <w:pitch w:val="variable"/>
  </w:font>
  <w:font w:name="Courier New">
    <w:charset w:val="cc"/>
    <w:family w:val="roman"/>
    <w:pitch w:val="variable"/>
  </w:font>
  <w:font w:name="Tahoma">
    <w:charset w:val="cc"/>
    <w:family w:val="roman"/>
    <w:pitch w:val="variable"/>
  </w:font>
  <w:font w:name="Arial">
    <w:charset w:val="cc"/>
    <w:family w:val="roman"/>
    <w:pitch w:val="variable"/>
  </w:font>
  <w:font w:name="Liberation Mono">
    <w:altName w:val="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8"/>
      <w:ind w:right="360" w:firstLine="539"/>
      <w:rPr/>
    </w:pPr>
    <w:r>
      <w:rPr/>
    </w:r>
    <w:r>
      <mc:AlternateContent>
        <mc:Choice Requires="wps">
          <w:drawing>
            <wp:anchor behindDoc="0" distT="0" distB="0" distL="0" distR="0" simplePos="0" locked="0" layoutInCell="1" allowOverlap="1" relativeHeight="18">
              <wp:simplePos x="0" y="0"/>
              <wp:positionH relativeFrom="margin">
                <wp:align>right</wp:align>
              </wp:positionH>
              <wp:positionV relativeFrom="paragraph">
                <wp:posOffset>635</wp:posOffset>
              </wp:positionV>
              <wp:extent cx="495300" cy="175260"/>
              <wp:effectExtent l="0" t="0" r="0" b="0"/>
              <wp:wrapSquare wrapText="largest"/>
              <wp:docPr id="1" name="Врезка1"/>
              <a:graphic xmlns:a="http://schemas.openxmlformats.org/drawingml/2006/main">
                <a:graphicData uri="http://schemas.microsoft.com/office/word/2010/wordprocessingShape">
                  <wps:wsp>
                    <wps:cNvSpPr txBox="1"/>
                    <wps:spPr>
                      <a:xfrm>
                        <a:off x="0" y="0"/>
                        <a:ext cx="495300" cy="175260"/>
                      </a:xfrm>
                      <a:prstGeom prst="rect"/>
                      <a:solidFill>
                        <a:srgbClr val="FFFFFF">
                          <a:alpha val="0"/>
                        </a:srgbClr>
                      </a:solidFill>
                    </wps:spPr>
                    <wps:txbx>
                      <w:txbxContent>
                        <w:p>
                          <w:pPr>
                            <w:pStyle w:val="Style28"/>
                            <w:pBdr/>
                            <w:rPr/>
                          </w:pPr>
                          <w:r>
                            <w:rPr>
                              <w:rStyle w:val="Pagenumber"/>
                            </w:rPr>
                            <w:fldChar w:fldCharType="begin"/>
                          </w:r>
                          <w:r>
                            <w:rPr>
                              <w:rStyle w:val="Pagenumber"/>
                            </w:rPr>
                            <w:instrText> PAGE </w:instrText>
                          </w:r>
                          <w:r>
                            <w:rPr>
                              <w:rStyle w:val="Pagenumber"/>
                            </w:rPr>
                            <w:fldChar w:fldCharType="separate"/>
                          </w:r>
                          <w:r>
                            <w:rPr>
                              <w:rStyle w:val="Pagenumber"/>
                            </w:rPr>
                            <w:t>18</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39pt;height:13.8pt;mso-wrap-distance-left:0pt;mso-wrap-distance-right:0pt;mso-wrap-distance-top:0pt;mso-wrap-distance-bottom:0pt;margin-top:0.05pt;mso-position-vertical-relative:text;margin-left:442.85pt;mso-position-horizontal:right;mso-position-horizontal-relative:margin">
              <v:fill opacity="0f"/>
              <v:textbox inset="0in,0in,0in,0in">
                <w:txbxContent>
                  <w:p>
                    <w:pPr>
                      <w:pStyle w:val="Style28"/>
                      <w:pBdr/>
                      <w:rPr/>
                    </w:pPr>
                    <w:r>
                      <w:rPr>
                        <w:rStyle w:val="Pagenumber"/>
                      </w:rPr>
                      <w:fldChar w:fldCharType="begin"/>
                    </w:r>
                    <w:r>
                      <w:rPr>
                        <w:rStyle w:val="Pagenumber"/>
                      </w:rPr>
                      <w:instrText> PAGE </w:instrText>
                    </w:r>
                    <w:r>
                      <w:rPr>
                        <w:rStyle w:val="Pagenumber"/>
                      </w:rPr>
                      <w:fldChar w:fldCharType="separate"/>
                    </w:r>
                    <w:r>
                      <w:rPr>
                        <w:rStyle w:val="Pagenumber"/>
                      </w:rPr>
                      <w:t>18</w:t>
                    </w:r>
                    <w:r>
                      <w:rPr>
                        <w:rStyle w:val="Pagenumber"/>
                      </w:rPr>
                      <w:fldChar w:fldCharType="end"/>
                    </w:r>
                  </w:p>
                </w:txbxContent>
              </v:textbox>
              <w10:wrap type="square" side="largest"/>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tabs>
        <w:tab w:val="clear" w:pos="4677"/>
        <w:tab w:val="clear" w:pos="9355"/>
        <w:tab w:val="left" w:pos="1509" w:leader="none"/>
      </w:tabs>
      <w:rPr>
        <w:szCs w:val="2"/>
      </w:rPr>
    </w:pPr>
    <w:r>
      <w:rPr>
        <w:szCs w:val="2"/>
      </w:rPr>
    </w:r>
  </w:p>
</w:hdr>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uiPriority="99" w:semiHidden="1"/>
    <w:lsdException w:name="No Spacing" w:uiPriority="1" w:qFormat="1"/>
    <w:lsdException w:name="Light Shading" w:uiPriority="60" w:semiHidden="1" w:unhideWhenUsed="1"/>
    <w:lsdException w:name="Light List" w:uiPriority="61" w:semiHidden="1" w:unhideWhenUsed="1"/>
    <w:lsdException w:name="Light Grid" w:uiPriority="62" w:semiHidden="1" w:unhideWhenUsed="1"/>
    <w:lsdException w:name="Medium Shading 1" w:uiPriority="63" w:semiHidden="1" w:unhideWhenUsed="1"/>
    <w:lsdException w:name="Medium Shading 2" w:uiPriority="64" w:semiHidden="1" w:unhideWhenUsed="1"/>
    <w:lsdException w:name="Medium List 1" w:uiPriority="65" w:semiHidden="1" w:unhideWhenUsed="1"/>
    <w:lsdException w:name="Medium List 2" w:uiPriority="66" w:semiHidden="1" w:unhideWhenUsed="1"/>
    <w:lsdException w:name="Medium Grid 1" w:uiPriority="67" w:semiHidden="1" w:unhideWhenUsed="1"/>
    <w:lsdException w:name="Medium Grid 2" w:uiPriority="68" w:semiHidden="1" w:unhideWhenUsed="1"/>
    <w:lsdException w:name="Medium Grid 3" w:uiPriority="69" w:semiHidden="1" w:unhideWhenUsed="1"/>
    <w:lsdException w:name="Dark List" w:uiPriority="70" w:semiHidden="1" w:unhideWhenUsed="1"/>
    <w:lsdException w:name="Colorful Shading" w:uiPriority="71" w:semiHidden="1" w:unhideWhenUsed="1"/>
    <w:lsdException w:name="Colorful List" w:uiPriority="72" w:semiHidden="1" w:unhideWhenUsed="1"/>
    <w:lsdException w:name="Colorful Grid" w:uiPriority="73" w:semiHidden="1" w:unhideWhenUsed="1"/>
    <w:lsdException w:name="Light Shading Accent 1" w:uiPriority="60" w:semiHidden="1" w:unhideWhenUsed="1"/>
    <w:lsdException w:name="Light List Accent 1" w:uiPriority="61" w:semiHidden="1" w:unhideWhenUsed="1"/>
    <w:lsdException w:name="Light Grid Accent 1" w:uiPriority="62" w:semiHidden="1" w:unhideWhenUsed="1"/>
    <w:lsdException w:name="Medium Shading 1 Accent 1" w:uiPriority="63" w:semiHidden="1" w:unhideWhenUsed="1"/>
    <w:lsdException w:name="Medium Shading 2 Accent 1" w:uiPriority="64" w:semiHidden="1" w:unhideWhenUsed="1"/>
    <w:lsdException w:name="Medium List 1 Accent 1" w:uiPriority="65" w:semiHidden="1" w:unhideWhenUsed="1"/>
    <w:lsdException w:name="Revision" w:uiPriority="99" w:semiHidden="1"/>
    <w:lsdException w:name="List Paragraph" w:uiPriority="34" w:qFormat="1"/>
    <w:lsdException w:name="Quote" w:uiPriority="29" w:qFormat="1"/>
    <w:lsdException w:name="Intense Quote" w:uiPriority="30" w:qFormat="1"/>
    <w:lsdException w:name="Medium List 2 Accent 1" w:uiPriority="66" w:semiHidden="1" w:unhideWhenUsed="1"/>
    <w:lsdException w:name="Medium Grid 1 Accent 1" w:uiPriority="67" w:semiHidden="1" w:unhideWhenUsed="1"/>
    <w:lsdException w:name="Medium Grid 2 Accent 1" w:uiPriority="68" w:semiHidden="1" w:unhideWhenUsed="1"/>
    <w:lsdException w:name="Medium Grid 3 Accent 1" w:uiPriority="69" w:semiHidden="1" w:unhideWhenUsed="1"/>
    <w:lsdException w:name="Dark List Accent 1" w:uiPriority="70" w:semiHidden="1" w:unhideWhenUsed="1"/>
    <w:lsdException w:name="Colorful Shading Accent 1" w:uiPriority="71" w:semiHidden="1" w:unhideWhenUsed="1"/>
    <w:lsdException w:name="Colorful List Accent 1" w:uiPriority="72" w:semiHidden="1" w:unhideWhenUsed="1"/>
    <w:lsdException w:name="Colorful Grid Accent 1" w:uiPriority="73" w:semiHidden="1" w:unhideWhenUsed="1"/>
    <w:lsdException w:name="Light Shading Accent 2" w:uiPriority="60" w:semiHidden="1" w:unhideWhenUsed="1"/>
    <w:lsdException w:name="Light List Accent 2" w:uiPriority="61" w:semiHidden="1" w:unhideWhenUsed="1"/>
    <w:lsdException w:name="Light Grid Accent 2" w:uiPriority="62" w:semiHidden="1" w:unhideWhenUsed="1"/>
    <w:lsdException w:name="Medium Shading 1 Accent 2" w:uiPriority="63" w:semiHidden="1" w:unhideWhenUsed="1"/>
    <w:lsdException w:name="Medium Shading 2 Accent 2" w:uiPriority="64" w:semiHidden="1" w:unhideWhenUsed="1"/>
    <w:lsdException w:name="Medium List 1 Accent 2" w:uiPriority="65" w:semiHidden="1" w:unhideWhenUsed="1"/>
    <w:lsdException w:name="Medium List 2 Accent 2" w:uiPriority="66" w:semiHidden="1" w:unhideWhenUsed="1"/>
    <w:lsdException w:name="Medium Grid 1 Accent 2" w:uiPriority="67" w:semiHidden="1" w:unhideWhenUsed="1"/>
    <w:lsdException w:name="Medium Grid 2 Accent 2" w:uiPriority="68" w:semiHidden="1" w:unhideWhenUsed="1"/>
    <w:lsdException w:name="Medium Grid 3 Accent 2" w:uiPriority="69" w:semiHidden="1" w:unhideWhenUsed="1"/>
    <w:lsdException w:name="Dark List Accent 2" w:uiPriority="70" w:semiHidden="1" w:unhideWhenUsed="1"/>
    <w:lsdException w:name="Colorful Shading Accent 2" w:uiPriority="71" w:semiHidden="1" w:unhideWhenUsed="1"/>
    <w:lsdException w:name="Colorful List Accent 2" w:uiPriority="72" w:semiHidden="1" w:unhideWhenUsed="1"/>
    <w:lsdException w:name="Colorful Grid Accent 2" w:uiPriority="73" w:semiHidden="1" w:unhideWhenUsed="1"/>
    <w:lsdException w:name="Light Shading Accent 3" w:uiPriority="60" w:semiHidden="1" w:unhideWhenUsed="1"/>
    <w:lsdException w:name="Light List Accent 3" w:uiPriority="61" w:semiHidden="1" w:unhideWhenUsed="1"/>
    <w:lsdException w:name="Light Grid Accent 3" w:uiPriority="62" w:semiHidden="1" w:unhideWhenUsed="1"/>
    <w:lsdException w:name="Medium Shading 1 Accent 3" w:uiPriority="63" w:semiHidden="1" w:unhideWhenUsed="1"/>
    <w:lsdException w:name="Medium Shading 2 Accent 3" w:uiPriority="64" w:semiHidden="1" w:unhideWhenUsed="1"/>
    <w:lsdException w:name="Medium List 1 Accent 3" w:uiPriority="65" w:semiHidden="1" w:unhideWhenUsed="1"/>
    <w:lsdException w:name="Medium List 2 Accent 3" w:uiPriority="66" w:semiHidden="1" w:unhideWhenUsed="1"/>
    <w:lsdException w:name="Medium Grid 1 Accent 3" w:uiPriority="67" w:semiHidden="1" w:unhideWhenUsed="1"/>
    <w:lsdException w:name="Medium Grid 2 Accent 3" w:uiPriority="68" w:semiHidden="1" w:unhideWhenUsed="1"/>
    <w:lsdException w:name="Medium Grid 3 Accent 3" w:uiPriority="69" w:semiHidden="1" w:unhideWhenUsed="1"/>
    <w:lsdException w:name="Dark List Accent 3" w:uiPriority="70" w:semiHidden="1" w:unhideWhenUsed="1"/>
    <w:lsdException w:name="Colorful Shading Accent 3" w:uiPriority="71" w:semiHidden="1" w:unhideWhenUsed="1"/>
    <w:lsdException w:name="Colorful List Accent 3" w:uiPriority="72" w:semiHidden="1" w:unhideWhenUsed="1"/>
    <w:lsdException w:name="Colorful Grid Accent 3" w:uiPriority="73" w:semiHidden="1" w:unhideWhenUsed="1"/>
    <w:lsdException w:name="Light Shading Accent 4" w:uiPriority="60" w:semiHidden="1" w:unhideWhenUsed="1"/>
    <w:lsdException w:name="Light List Accent 4" w:uiPriority="61" w:semiHidden="1" w:unhideWhenUsed="1"/>
    <w:lsdException w:name="Light Grid Accent 4" w:uiPriority="62" w:semiHidden="1" w:unhideWhenUsed="1"/>
    <w:lsdException w:name="Medium Shading 1 Accent 4" w:uiPriority="63" w:semiHidden="1" w:unhideWhenUsed="1"/>
    <w:lsdException w:name="Medium Shading 2 Accent 4" w:uiPriority="64" w:semiHidden="1" w:unhideWhenUsed="1"/>
    <w:lsdException w:name="Medium List 1 Accent 4" w:uiPriority="65" w:semiHidden="1" w:unhideWhenUsed="1"/>
    <w:lsdException w:name="Medium List 2 Accent 4" w:uiPriority="66" w:semiHidden="1" w:unhideWhenUsed="1"/>
    <w:lsdException w:name="Medium Grid 1 Accent 4" w:uiPriority="67" w:semiHidden="1" w:unhideWhenUsed="1"/>
    <w:lsdException w:name="Medium Grid 2 Accent 4" w:uiPriority="68" w:semiHidden="1" w:unhideWhenUsed="1"/>
    <w:lsdException w:name="Medium Grid 3 Accent 4" w:uiPriority="69" w:semiHidden="1" w:unhideWhenUsed="1"/>
    <w:lsdException w:name="Dark List Accent 4" w:uiPriority="70" w:semiHidden="1" w:unhideWhenUsed="1"/>
    <w:lsdException w:name="Colorful Shading Accent 4" w:uiPriority="71" w:semiHidden="1" w:unhideWhenUsed="1"/>
    <w:lsdException w:name="Colorful List Accent 4" w:uiPriority="72" w:semiHidden="1" w:unhideWhenUsed="1"/>
    <w:lsdException w:name="Colorful Grid Accent 4" w:uiPriority="73" w:semiHidden="1" w:unhideWhenUsed="1"/>
    <w:lsdException w:name="Light Shading Accent 5" w:uiPriority="60" w:semiHidden="1" w:unhideWhenUsed="1"/>
    <w:lsdException w:name="Light List Accent 5" w:uiPriority="61" w:semiHidden="1" w:unhideWhenUsed="1"/>
    <w:lsdException w:name="Light Grid Accent 5" w:uiPriority="62" w:semiHidden="1" w:unhideWhenUsed="1"/>
    <w:lsdException w:name="Medium Shading 1 Accent 5" w:uiPriority="63" w:semiHidden="1" w:unhideWhenUsed="1"/>
    <w:lsdException w:name="Medium Shading 2 Accent 5" w:uiPriority="64" w:semiHidden="1" w:unhideWhenUsed="1"/>
    <w:lsdException w:name="Medium List 1 Accent 5" w:uiPriority="65" w:semiHidden="1" w:unhideWhenUsed="1"/>
    <w:lsdException w:name="Medium List 2 Accent 5" w:uiPriority="66" w:semiHidden="1" w:unhideWhenUsed="1"/>
    <w:lsdException w:name="Medium Grid 1 Accent 5" w:uiPriority="67" w:semiHidden="1" w:unhideWhenUsed="1"/>
    <w:lsdException w:name="Medium Grid 2 Accent 5" w:uiPriority="68" w:semiHidden="1" w:unhideWhenUsed="1"/>
    <w:lsdException w:name="Medium Grid 3 Accent 5" w:uiPriority="69" w:semiHidden="1" w:unhideWhenUsed="1"/>
    <w:lsdException w:name="Dark List Accent 5" w:uiPriority="70" w:semiHidden="1" w:unhideWhenUsed="1"/>
    <w:lsdException w:name="Colorful Shading Accent 5" w:uiPriority="71" w:semiHidden="1" w:unhideWhenUsed="1"/>
    <w:lsdException w:name="Colorful List Accent 5" w:uiPriority="72" w:semiHidden="1" w:unhideWhenUsed="1"/>
    <w:lsdException w:name="Colorful Grid Accent 5" w:uiPriority="73" w:semiHidden="1" w:unhideWhenUsed="1"/>
    <w:lsdException w:name="Light Shading Accent 6" w:uiPriority="60" w:semiHidden="1" w:unhideWhenUsed="1"/>
    <w:lsdException w:name="Light List Accent 6" w:uiPriority="61" w:semiHidden="1" w:unhideWhenUsed="1"/>
    <w:lsdException w:name="Light Grid Accent 6" w:uiPriority="62" w:semiHidden="1" w:unhideWhenUsed="1"/>
    <w:lsdException w:name="Medium Shading 1 Accent 6" w:uiPriority="63" w:semiHidden="1" w:unhideWhenUsed="1"/>
    <w:lsdException w:name="Medium Shading 2 Accent 6" w:uiPriority="64" w:semiHidden="1" w:unhideWhenUsed="1"/>
    <w:lsdException w:name="Medium List 1 Accent 6" w:uiPriority="65" w:semiHidden="1" w:unhideWhenUsed="1"/>
    <w:lsdException w:name="Medium List 2 Accent 6" w:uiPriority="66" w:semiHidden="1" w:unhideWhenUsed="1"/>
    <w:lsdException w:name="Medium Grid 1 Accent 6" w:uiPriority="67" w:semiHidden="1" w:unhideWhenUsed="1"/>
    <w:lsdException w:name="Medium Grid 2 Accent 6" w:uiPriority="68" w:semiHidden="1" w:unhideWhenUsed="1"/>
    <w:lsdException w:name="Medium Grid 3 Accent 6" w:uiPriority="69" w:semiHidden="1" w:unhideWhenUsed="1"/>
    <w:lsdException w:name="Dark List Accent 6" w:uiPriority="70" w:semiHidden="1" w:unhideWhenUsed="1"/>
    <w:lsdException w:name="Colorful Shading Accent 6" w:uiPriority="71" w:semiHidden="1" w:unhideWhenUsed="1"/>
    <w:lsdException w:name="Colorful List Accent 6" w:uiPriority="72" w:semiHidden="1" w:unhideWhenUsed="1"/>
    <w:lsdException w:name="Colorful Grid Accent 6" w:uiPriority="73" w:semiHidden="1"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pPr>
      <w:widowControl/>
      <w:bidi w:val="0"/>
      <w:ind w:firstLine="539"/>
      <w:jc w:val="both"/>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semiHidden/>
    <w:qFormat/>
    <w:rPr/>
  </w:style>
  <w:style w:type="character" w:styleId="Style14" w:customStyle="1">
    <w:name w:val="Колонтитул_"/>
    <w:link w:val="1"/>
    <w:qFormat/>
    <w:rsid w:val="00ad663a"/>
    <w:rPr>
      <w:sz w:val="23"/>
      <w:szCs w:val="23"/>
      <w:lang w:bidi="ar-SA"/>
    </w:rPr>
  </w:style>
  <w:style w:type="character" w:styleId="Style15" w:customStyle="1">
    <w:name w:val="Колонтитул"/>
    <w:basedOn w:val="Style14"/>
    <w:qFormat/>
    <w:rsid w:val="00ad663a"/>
    <w:rPr/>
  </w:style>
  <w:style w:type="character" w:styleId="Style16" w:customStyle="1">
    <w:name w:val="Основной текст Знак"/>
    <w:link w:val="a7"/>
    <w:qFormat/>
    <w:rsid w:val="00ad663a"/>
    <w:rPr>
      <w:sz w:val="23"/>
      <w:szCs w:val="23"/>
      <w:lang w:bidi="ar-SA"/>
    </w:rPr>
  </w:style>
  <w:style w:type="character" w:styleId="Style17" w:customStyle="1">
    <w:name w:val="Верхний колонтитул Знак"/>
    <w:link w:val="a8"/>
    <w:qFormat/>
    <w:rsid w:val="00e3302c"/>
    <w:rPr>
      <w:sz w:val="24"/>
      <w:szCs w:val="24"/>
    </w:rPr>
  </w:style>
  <w:style w:type="character" w:styleId="Style18" w:customStyle="1">
    <w:name w:val="Нижний колонтитул Знак"/>
    <w:link w:val="aa"/>
    <w:qFormat/>
    <w:rsid w:val="00e3302c"/>
    <w:rPr>
      <w:sz w:val="24"/>
      <w:szCs w:val="24"/>
    </w:rPr>
  </w:style>
  <w:style w:type="character" w:styleId="Pagenumber">
    <w:name w:val="page number"/>
    <w:basedOn w:val="DefaultParagraphFont"/>
    <w:qFormat/>
    <w:rsid w:val="002d1444"/>
    <w:rPr/>
  </w:style>
  <w:style w:type="character" w:styleId="Style19" w:customStyle="1">
    <w:name w:val="Текст выноски Знак"/>
    <w:link w:val="ad"/>
    <w:qFormat/>
    <w:rsid w:val="006b03bb"/>
    <w:rPr>
      <w:rFonts w:ascii="Segoe UI" w:hAnsi="Segoe UI" w:cs="Segoe UI"/>
      <w:sz w:val="18"/>
      <w:szCs w:val="18"/>
    </w:rPr>
  </w:style>
  <w:style w:type="character" w:styleId="Style20" w:customStyle="1">
    <w:name w:val="Гипертекстовая ссылка"/>
    <w:basedOn w:val="DefaultParagraphFont"/>
    <w:uiPriority w:val="99"/>
    <w:qFormat/>
    <w:rsid w:val="001768cf"/>
    <w:rPr>
      <w:rFonts w:cs="Times New Roman"/>
      <w:color w:val="106BBE"/>
    </w:rPr>
  </w:style>
  <w:style w:type="character" w:styleId="W" w:customStyle="1">
    <w:name w:val="w"/>
    <w:basedOn w:val="DefaultParagraphFont"/>
    <w:qFormat/>
    <w:rsid w:val="005c6b19"/>
    <w:rPr/>
  </w:style>
  <w:style w:type="character" w:styleId="HTML" w:customStyle="1">
    <w:name w:val="Стандартный HTML Знак"/>
    <w:basedOn w:val="DefaultParagraphFont"/>
    <w:link w:val="HTML"/>
    <w:uiPriority w:val="99"/>
    <w:qFormat/>
    <w:rsid w:val="007d76f1"/>
    <w:rPr>
      <w:rFonts w:ascii="Courier New" w:hAnsi="Courier New" w:cs="Courier New"/>
    </w:rPr>
  </w:style>
  <w:style w:type="paragraph" w:styleId="Style21">
    <w:name w:val="Заголовок"/>
    <w:basedOn w:val="Normal"/>
    <w:next w:val="Style22"/>
    <w:qFormat/>
    <w:rsid w:val="00971239"/>
    <w:pPr>
      <w:jc w:val="center"/>
    </w:pPr>
    <w:rPr>
      <w:b/>
      <w:szCs w:val="20"/>
    </w:rPr>
  </w:style>
  <w:style w:type="paragraph" w:styleId="Style22">
    <w:name w:val="Body Text"/>
    <w:basedOn w:val="Normal"/>
    <w:link w:val="a6"/>
    <w:rsid w:val="00ad663a"/>
    <w:pPr>
      <w:widowControl w:val="false"/>
      <w:shd w:val="clear" w:color="auto" w:fill="FFFFFF"/>
      <w:spacing w:lineRule="exact" w:line="274" w:before="240" w:after="240"/>
      <w:ind w:hanging="360"/>
    </w:pPr>
    <w:rPr>
      <w:sz w:val="23"/>
      <w:szCs w:val="23"/>
    </w:rPr>
  </w:style>
  <w:style w:type="paragraph" w:styleId="Style23">
    <w:name w:val="List"/>
    <w:basedOn w:val="Style22"/>
    <w:pPr>
      <w:shd w:fill="FFFFFF" w:val="clear"/>
    </w:pPr>
    <w:rPr>
      <w:rFonts w:cs="Lucida Sans"/>
    </w:rPr>
  </w:style>
  <w:style w:type="paragraph" w:styleId="Style24">
    <w:name w:val="Caption"/>
    <w:basedOn w:val="Normal"/>
    <w:qFormat/>
    <w:pPr>
      <w:suppressLineNumbers/>
      <w:spacing w:before="120" w:after="120"/>
    </w:pPr>
    <w:rPr>
      <w:rFonts w:cs="Lucida Sans"/>
      <w:i/>
      <w:iCs/>
      <w:sz w:val="24"/>
      <w:szCs w:val="24"/>
    </w:rPr>
  </w:style>
  <w:style w:type="paragraph" w:styleId="Style25">
    <w:name w:val="Указатель"/>
    <w:basedOn w:val="Normal"/>
    <w:qFormat/>
    <w:pPr>
      <w:suppressLineNumbers/>
    </w:pPr>
    <w:rPr>
      <w:rFonts w:cs="Lucida Sans"/>
    </w:rPr>
  </w:style>
  <w:style w:type="paragraph" w:styleId="ConsPlusNonformat" w:customStyle="1">
    <w:name w:val="ConsPlusNonformat"/>
    <w:qFormat/>
    <w:rsid w:val="007b2419"/>
    <w:pPr>
      <w:widowControl w:val="false"/>
      <w:bidi w:val="0"/>
      <w:ind w:firstLine="539"/>
      <w:jc w:val="both"/>
    </w:pPr>
    <w:rPr>
      <w:rFonts w:ascii="Courier New" w:hAnsi="Courier New" w:cs="Courier New" w:eastAsia="Times New Roman"/>
      <w:color w:val="auto"/>
      <w:kern w:val="0"/>
      <w:sz w:val="24"/>
      <w:szCs w:val="20"/>
      <w:lang w:val="ru-RU" w:eastAsia="ru-RU" w:bidi="ar-SA"/>
    </w:rPr>
  </w:style>
  <w:style w:type="paragraph" w:styleId="ConsPlusNormal" w:customStyle="1">
    <w:name w:val="ConsPlusNormal"/>
    <w:qFormat/>
    <w:rsid w:val="004c0ab5"/>
    <w:pPr>
      <w:widowControl/>
      <w:bidi w:val="0"/>
      <w:ind w:firstLine="539"/>
      <w:jc w:val="both"/>
    </w:pPr>
    <w:rPr>
      <w:rFonts w:ascii="Tahoma" w:hAnsi="Tahoma" w:cs="Tahoma" w:eastAsia="Times New Roman"/>
      <w:color w:val="auto"/>
      <w:kern w:val="0"/>
      <w:sz w:val="24"/>
      <w:szCs w:val="20"/>
      <w:lang w:val="ru-RU" w:eastAsia="ru-RU" w:bidi="ar-SA"/>
    </w:rPr>
  </w:style>
  <w:style w:type="paragraph" w:styleId="1" w:customStyle="1">
    <w:name w:val="Колонтитул1"/>
    <w:basedOn w:val="Normal"/>
    <w:link w:val="a4"/>
    <w:qFormat/>
    <w:rsid w:val="00ad663a"/>
    <w:pPr>
      <w:widowControl w:val="false"/>
      <w:shd w:val="clear" w:color="auto" w:fill="FFFFFF"/>
      <w:spacing w:lineRule="atLeast" w:line="240"/>
    </w:pPr>
    <w:rPr>
      <w:sz w:val="23"/>
      <w:szCs w:val="23"/>
    </w:rPr>
  </w:style>
  <w:style w:type="paragraph" w:styleId="Style26">
    <w:name w:val="Верхний и нижний колонтитулы"/>
    <w:basedOn w:val="Normal"/>
    <w:qFormat/>
    <w:pPr/>
    <w:rPr/>
  </w:style>
  <w:style w:type="paragraph" w:styleId="Style27">
    <w:name w:val="Header"/>
    <w:basedOn w:val="Normal"/>
    <w:link w:val="a9"/>
    <w:rsid w:val="00e3302c"/>
    <w:pPr>
      <w:tabs>
        <w:tab w:val="clear" w:pos="708"/>
        <w:tab w:val="center" w:pos="4677" w:leader="none"/>
        <w:tab w:val="right" w:pos="9355" w:leader="none"/>
      </w:tabs>
    </w:pPr>
    <w:rPr/>
  </w:style>
  <w:style w:type="paragraph" w:styleId="Style28">
    <w:name w:val="Footer"/>
    <w:basedOn w:val="Normal"/>
    <w:link w:val="ab"/>
    <w:rsid w:val="00e3302c"/>
    <w:pPr>
      <w:tabs>
        <w:tab w:val="clear" w:pos="708"/>
        <w:tab w:val="center" w:pos="4677" w:leader="none"/>
        <w:tab w:val="right" w:pos="9355" w:leader="none"/>
      </w:tabs>
    </w:pPr>
    <w:rPr/>
  </w:style>
  <w:style w:type="paragraph" w:styleId="BalloonText">
    <w:name w:val="Balloon Text"/>
    <w:basedOn w:val="Normal"/>
    <w:link w:val="ae"/>
    <w:qFormat/>
    <w:rsid w:val="006b03bb"/>
    <w:pPr/>
    <w:rPr>
      <w:rFonts w:ascii="Segoe UI" w:hAnsi="Segoe UI"/>
      <w:sz w:val="18"/>
      <w:szCs w:val="18"/>
    </w:rPr>
  </w:style>
  <w:style w:type="paragraph" w:styleId="ConsPlusTitle" w:customStyle="1">
    <w:name w:val="ConsPlusTitle"/>
    <w:uiPriority w:val="99"/>
    <w:qFormat/>
    <w:rsid w:val="00b33c4a"/>
    <w:pPr>
      <w:widowControl w:val="false"/>
      <w:bidi w:val="0"/>
      <w:ind w:firstLine="539"/>
      <w:jc w:val="both"/>
    </w:pPr>
    <w:rPr>
      <w:rFonts w:ascii="Arial" w:hAnsi="Arial" w:cs="Arial" w:eastAsia="Times New Roman"/>
      <w:b/>
      <w:bCs/>
      <w:color w:val="auto"/>
      <w:kern w:val="0"/>
      <w:sz w:val="24"/>
      <w:szCs w:val="24"/>
      <w:lang w:val="ru-RU" w:eastAsia="ru-RU" w:bidi="ar-SA"/>
    </w:rPr>
  </w:style>
  <w:style w:type="paragraph" w:styleId="NormalWeb">
    <w:name w:val="Normal (Web)"/>
    <w:basedOn w:val="Normal"/>
    <w:uiPriority w:val="99"/>
    <w:unhideWhenUsed/>
    <w:qFormat/>
    <w:rsid w:val="005c6b19"/>
    <w:pPr>
      <w:spacing w:beforeAutospacing="1" w:afterAutospacing="1"/>
      <w:ind w:hanging="0"/>
      <w:jc w:val="left"/>
    </w:pPr>
    <w:rPr/>
  </w:style>
  <w:style w:type="paragraph" w:styleId="HTMLPreformatted">
    <w:name w:val="HTML Preformatted"/>
    <w:basedOn w:val="Normal"/>
    <w:link w:val="HTML0"/>
    <w:uiPriority w:val="99"/>
    <w:unhideWhenUsed/>
    <w:qFormat/>
    <w:rsid w:val="007d76f1"/>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left"/>
    </w:pPr>
    <w:rPr>
      <w:rFonts w:ascii="Courier New" w:hAnsi="Courier New" w:cs="Courier New"/>
      <w:sz w:val="20"/>
      <w:szCs w:val="20"/>
    </w:rPr>
  </w:style>
  <w:style w:type="paragraph" w:styleId="Style29">
    <w:name w:val="Содержимое врезки"/>
    <w:basedOn w:val="Normal"/>
    <w:qFormat/>
    <w:pPr/>
    <w:rPr/>
  </w:style>
  <w:style w:type="numbering" w:styleId="NoList" w:default="1">
    <w:name w:val="No List"/>
    <w:semiHidden/>
    <w:qFormat/>
  </w:style>
  <w:style w:type="table" w:default="1" w:styleId="a1">
    <w:name w:val="Normal Table"/>
    <w:semiHidden/>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CF7D3-8E29-4D8C-82D5-E6C766B7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Application>LibreOffice/6.3.3.2$Windows_x86 LibreOffice_project/a64200df03143b798afd1ec74a12ab50359878ed</Application>
  <Pages>18</Pages>
  <Words>5464</Words>
  <Characters>40459</Characters>
  <CharactersWithSpaces>45946</CharactersWithSpaces>
  <Paragraphs>187</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2020-06-28T16:48:00Z</dcterms:created>
  <dc:creator>User</dc:creator>
  <dc:description/>
  <dc:language>ru-RU</dc:language>
  <cp:lastModifiedBy/>
  <cp:lastPrinted>2019-10-07T04:04:00Z</cp:lastPrinted>
  <dcterms:modified xsi:type="dcterms:W3CDTF">2020-06-28T21:04:21Z</dcterms:modified>
  <cp:revision>5</cp:revision>
  <dc:subject/>
  <dc:title>Документ предоставлен КонсультантПлюс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