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17C" w:rsidRPr="005B7725" w:rsidRDefault="0031117C" w:rsidP="0031117C">
      <w:pPr>
        <w:pStyle w:val="ConsPlusNormal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bookmarkStart w:id="0" w:name="_GoBack"/>
      <w:r w:rsidRPr="005B7725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Новый порядок расчетов по </w:t>
      </w:r>
      <w:proofErr w:type="spellStart"/>
      <w:r w:rsidRPr="005B7725">
        <w:rPr>
          <w:rFonts w:ascii="Times New Roman" w:hAnsi="Times New Roman" w:cs="Times New Roman"/>
          <w:bCs/>
          <w:i/>
          <w:sz w:val="28"/>
          <w:szCs w:val="28"/>
          <w:u w:val="single"/>
        </w:rPr>
        <w:t>госконтрактам</w:t>
      </w:r>
      <w:proofErr w:type="spellEnd"/>
      <w:r w:rsidRPr="005B7725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закреплен на постоянной основе </w:t>
      </w:r>
    </w:p>
    <w:bookmarkEnd w:id="0"/>
    <w:p w:rsidR="005B7725" w:rsidRDefault="005B7725" w:rsidP="0031117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117C" w:rsidRPr="00116C3E" w:rsidRDefault="0031117C" w:rsidP="0031117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6C3E">
        <w:rPr>
          <w:rFonts w:ascii="Times New Roman" w:hAnsi="Times New Roman" w:cs="Times New Roman"/>
          <w:bCs/>
          <w:sz w:val="28"/>
          <w:szCs w:val="28"/>
        </w:rPr>
        <w:t xml:space="preserve">Постановлением Правительства РФ от 30.12.2017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116C3E">
        <w:rPr>
          <w:rFonts w:ascii="Times New Roman" w:hAnsi="Times New Roman" w:cs="Times New Roman"/>
          <w:bCs/>
          <w:sz w:val="28"/>
          <w:szCs w:val="28"/>
        </w:rPr>
        <w:t xml:space="preserve"> 1705 был установлен новый порядок расчетов по государственным контрактам, заключаемым в 2018 году, при котором последующие после выплаты аванса платежи должны производиться в размере, не превышающем разницу между стоимостью фактически поставленных товаров, выполненных работ, оказанных услуг и суммой, рассчитанной как произведение размера предусмотренного государственным контрактом авансового платежа в процентном выражении и стоимости фактически поставленных товаров, выполненных работ, оказанных услуг (в случае если государственный контракт содержит этапы его исполнения, сроки выполнения которых полностью или частично совпадают). 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116C3E">
        <w:rPr>
          <w:rFonts w:ascii="Times New Roman" w:hAnsi="Times New Roman" w:cs="Times New Roman"/>
          <w:bCs/>
          <w:sz w:val="28"/>
          <w:szCs w:val="28"/>
        </w:rPr>
        <w:t xml:space="preserve">анный порядок закрепляется на постоянной основе. </w:t>
      </w:r>
    </w:p>
    <w:p w:rsidR="0031117C" w:rsidRPr="00116C3E" w:rsidRDefault="0031117C" w:rsidP="0031117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6C3E">
        <w:rPr>
          <w:rFonts w:ascii="Times New Roman" w:hAnsi="Times New Roman" w:cs="Times New Roman"/>
          <w:bCs/>
          <w:sz w:val="28"/>
          <w:szCs w:val="28"/>
        </w:rPr>
        <w:t xml:space="preserve">Кроме того, определены требования к нормативным правовым актам, устанавливающим правила предоставления субсидий на иные цели, утверждаемые главными распорядителями средств федерального бюджета. </w:t>
      </w:r>
    </w:p>
    <w:p w:rsidR="0031117C" w:rsidRDefault="0031117C" w:rsidP="0031117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6C3E">
        <w:rPr>
          <w:rFonts w:ascii="Times New Roman" w:hAnsi="Times New Roman" w:cs="Times New Roman"/>
          <w:bCs/>
          <w:sz w:val="28"/>
          <w:szCs w:val="28"/>
        </w:rPr>
        <w:t>Также дополнены положения, касающиеся перераспределения на иные направления расходов федерального бюджета, подлежащих осуществлению в соответствии с федеральной адресной инвестиционной программой.</w:t>
      </w:r>
    </w:p>
    <w:p w:rsidR="00782DA2" w:rsidRDefault="00782DA2"/>
    <w:sectPr w:rsidR="00782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83"/>
    <w:rsid w:val="0031117C"/>
    <w:rsid w:val="005B7725"/>
    <w:rsid w:val="00782DA2"/>
    <w:rsid w:val="0082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C89FAF-2A3A-4271-9EE8-305E7562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11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>Прокуратура 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Григорий Битюков</cp:lastModifiedBy>
  <cp:revision>3</cp:revision>
  <dcterms:created xsi:type="dcterms:W3CDTF">2018-12-25T18:54:00Z</dcterms:created>
  <dcterms:modified xsi:type="dcterms:W3CDTF">2018-12-27T10:31:00Z</dcterms:modified>
</cp:coreProperties>
</file>